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B5" w:rsidRDefault="00563CB5"/>
    <w:p w:rsidR="00563CB5" w:rsidRDefault="00563CB5" w:rsidP="004809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AC0E" wp14:editId="3DCC78E4">
                <wp:simplePos x="0" y="0"/>
                <wp:positionH relativeFrom="page">
                  <wp:posOffset>3871595</wp:posOffset>
                </wp:positionH>
                <wp:positionV relativeFrom="page">
                  <wp:posOffset>7240905</wp:posOffset>
                </wp:positionV>
                <wp:extent cx="3131820" cy="1223645"/>
                <wp:effectExtent l="0" t="0" r="11430" b="146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223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Kurzfassung"/>
                              <w:tag w:val=""/>
                              <w:id w:val="-339772111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C34A34" w:rsidRDefault="00C34A34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.85pt;margin-top:570.15pt;width:246.6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" filled="f" stroked="f" strokeweight=".5pt">
                <v:textbox inset="0,0,0,0">
                  <w:txbxContent>
                    <w:sdt>
                      <w:sdtPr>
                        <w:alias w:val="Kurzfassung"/>
                        <w:tag w:val=""/>
                        <w:id w:val="-339772111"/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:rsidR="00C34A34" w:rsidRDefault="00C34A34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id w:val="1787925374"/>
          <w:docPartObj>
            <w:docPartGallery w:val="Cover Pages"/>
            <w:docPartUnique/>
          </w:docPartObj>
        </w:sdtPr>
        <w:sdtEndPr/>
        <w:sdtContent>
          <w:r w:rsidRPr="0033424B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38831E1" wp14:editId="5AEE5655">
                <wp:simplePos x="0" y="0"/>
                <wp:positionH relativeFrom="margin">
                  <wp:posOffset>4052570</wp:posOffset>
                </wp:positionH>
                <wp:positionV relativeFrom="page">
                  <wp:posOffset>424815</wp:posOffset>
                </wp:positionV>
                <wp:extent cx="2069465" cy="539750"/>
                <wp:effectExtent l="0" t="0" r="6985" b="0"/>
                <wp:wrapTight wrapText="bothSides">
                  <wp:wrapPolygon edited="0">
                    <wp:start x="0" y="0"/>
                    <wp:lineTo x="0" y="20584"/>
                    <wp:lineTo x="21474" y="20584"/>
                    <wp:lineTo x="21474" y="0"/>
                    <wp:lineTo x="0" y="0"/>
                  </wp:wrapPolygon>
                </wp:wrapTight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uks__Lu_C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6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A25744F" wp14:editId="69EBF3B5">
                    <wp:simplePos x="0" y="0"/>
                    <wp:positionH relativeFrom="page">
                      <wp:posOffset>900430</wp:posOffset>
                    </wp:positionH>
                    <wp:positionV relativeFrom="page">
                      <wp:posOffset>9505315</wp:posOffset>
                    </wp:positionV>
                    <wp:extent cx="2818800" cy="165600"/>
                    <wp:effectExtent l="0" t="0" r="0" b="4445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18800" cy="165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4A34" w:rsidRDefault="0095729B">
                                <w:sdt>
                                  <w:sdtPr>
                                    <w:alias w:val="Autor"/>
                                    <w:tag w:val=""/>
                                    <w:id w:val="796726781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34A34">
                                      <w:t>Dr. med. Marco Rossi</w:t>
                                    </w:r>
                                  </w:sdtContent>
                                </w:sdt>
                                <w:r w:rsidR="00C34A34">
                                  <w:t xml:space="preserve">, </w:t>
                                </w:r>
                                <w:sdt>
                                  <w:sdtPr>
                                    <w:alias w:val="Ort"/>
                                    <w:tag w:val=""/>
                                    <w:id w:val="-62477692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34A34">
                                      <w:t>Infektiologie und Spitalhygiene</w:t>
                                    </w:r>
                                  </w:sdtContent>
                                </w:sdt>
                                <w:r w:rsidR="00C34A34">
                                  <w:t xml:space="preserve">, </w:t>
                                </w:r>
                                <w:sdt>
                                  <w:sdtPr>
                                    <w:alias w:val="Veröffentlichungsdatum"/>
                                    <w:tag w:val=""/>
                                    <w:id w:val="-1334528631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5-03T00:00:00Z">
                                      <w:dateFormat w:val="dd.MM.yyyy"/>
                                      <w:lid w:val="de-CH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464FAC">
                                      <w:t>03.05</w:t>
                                    </w:r>
                                    <w:r w:rsidR="00C34A34">
                                      <w:t>.2019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feld 3" o:spid="_x0000_s1027" type="#_x0000_t202" style="position:absolute;margin-left:70.9pt;margin-top:748.45pt;width:221.95pt;height:13.0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" fillcolor="white [3201]" stroked="f" strokeweight=".5pt">
                    <v:textbox style="mso-fit-shape-to-text:t" inset="0,0,0,0">
                      <w:txbxContent>
                        <w:p w:rsidR="00C34A34" w:rsidRDefault="0095729B">
                          <w:sdt>
                            <w:sdtPr>
                              <w:alias w:val="Autor"/>
                              <w:tag w:val=""/>
                              <w:id w:val="796726781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34A34">
                                <w:t>Dr. med. Marco Rossi</w:t>
                              </w:r>
                            </w:sdtContent>
                          </w:sdt>
                          <w:r w:rsidR="00C34A34">
                            <w:t xml:space="preserve">, </w:t>
                          </w:r>
                          <w:sdt>
                            <w:sdtPr>
                              <w:alias w:val="Ort"/>
                              <w:tag w:val=""/>
                              <w:id w:val="-62477692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C34A34">
                                <w:t>Infektiologie und Spitalhygiene</w:t>
                              </w:r>
                            </w:sdtContent>
                          </w:sdt>
                          <w:r w:rsidR="00C34A34">
                            <w:t xml:space="preserve">, </w:t>
                          </w:r>
                          <w:sdt>
                            <w:sdtPr>
                              <w:alias w:val="Veröffentlichungsdatum"/>
                              <w:tag w:val=""/>
                              <w:id w:val="-1334528631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5-03T00:00:00Z">
                                <w:dateFormat w:val="dd.MM.yyyy"/>
                                <w:lid w:val="de-C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64FAC">
                                <w:t>03.05</w:t>
                              </w:r>
                              <w:r w:rsidR="00C34A34">
                                <w:t>.2019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492959">
            <w:rPr>
              <w:noProof/>
              <w:color w:val="2A71B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F14E02" wp14:editId="134A61BF">
                    <wp:simplePos x="0" y="0"/>
                    <wp:positionH relativeFrom="page">
                      <wp:posOffset>900430</wp:posOffset>
                    </wp:positionH>
                    <wp:positionV relativeFrom="page">
                      <wp:posOffset>9126855</wp:posOffset>
                    </wp:positionV>
                    <wp:extent cx="4960800" cy="90000"/>
                    <wp:effectExtent l="0" t="0" r="0" b="5715"/>
                    <wp:wrapNone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60800" cy="90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4" o:spid="_x0000_s1026" style="position:absolute;margin-left:70.9pt;margin-top:718.65pt;width:390.6pt;height:7.1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" fillcolor="#2a71b8 [3204]" stroked="f" strokeweight=".5pt">
                    <v:textbox inset="0,0,0,0"/>
                    <w10:wrap anchorx="page" anchory="page"/>
                  </v:rect>
                </w:pict>
              </mc:Fallback>
            </mc:AlternateContent>
          </w:r>
          <w:r w:rsidRPr="00492959">
            <w:rPr>
              <w:noProof/>
              <w:color w:val="FFCB0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9486A6" wp14:editId="07FE52DE">
                    <wp:simplePos x="0" y="0"/>
                    <wp:positionH relativeFrom="page">
                      <wp:posOffset>3870325</wp:posOffset>
                    </wp:positionH>
                    <wp:positionV relativeFrom="page">
                      <wp:posOffset>8893175</wp:posOffset>
                    </wp:positionV>
                    <wp:extent cx="3132000" cy="180000"/>
                    <wp:effectExtent l="0" t="0" r="0" b="0"/>
                    <wp:wrapNone/>
                    <wp:docPr id="5" name="Rechteck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32000" cy="180000"/>
                            </a:xfrm>
                            <a:prstGeom prst="rect">
                              <a:avLst/>
                            </a:prstGeom>
                            <a:solidFill>
                              <a:srgbClr val="FFCB00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5" o:spid="_x0000_s1026" style="position:absolute;margin-left:304.75pt;margin-top:700.25pt;width:246.6pt;height:14.1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" fillcolor="#ffcb00" stroked="f" strokeweight=".5pt">
                    <v:textbox inset="0,0,0,0"/>
                    <w10:wrap anchorx="page" anchory="page"/>
                  </v:rect>
                </w:pict>
              </mc:Fallback>
            </mc:AlternateContent>
          </w:r>
        </w:sdtContent>
      </w:sdt>
    </w:p>
    <w:p w:rsidR="00563CB5" w:rsidRDefault="00563CB5" w:rsidP="004809D6"/>
    <w:p w:rsidR="00563CB5" w:rsidRDefault="00563CB5" w:rsidP="004809D6"/>
    <w:p w:rsidR="00563CB5" w:rsidRDefault="00563CB5" w:rsidP="004809D6"/>
    <w:p w:rsidR="00563CB5" w:rsidRDefault="00563CB5" w:rsidP="004809D6"/>
    <w:p w:rsidR="00563CB5" w:rsidRDefault="00563CB5" w:rsidP="004809D6"/>
    <w:p w:rsidR="00563CB5" w:rsidRDefault="00563CB5" w:rsidP="004809D6"/>
    <w:p w:rsidR="00563CB5" w:rsidRDefault="00563CB5" w:rsidP="004809D6"/>
    <w:p w:rsidR="00563CB5" w:rsidRDefault="00563CB5" w:rsidP="004809D6"/>
    <w:p w:rsidR="00563CB5" w:rsidRDefault="00563CB5" w:rsidP="004809D6"/>
    <w:p w:rsidR="00563CB5" w:rsidRDefault="00563CB5" w:rsidP="004809D6"/>
    <w:p w:rsidR="00563CB5" w:rsidRDefault="00563CB5" w:rsidP="004B2A93"/>
    <w:sdt>
      <w:sdtPr>
        <w:rPr>
          <w:rStyle w:val="TitelDeckblattZchn"/>
        </w:rPr>
        <w:alias w:val="Titel"/>
        <w:tag w:val="Titel"/>
        <w:id w:val="1850755571"/>
      </w:sdtPr>
      <w:sdtEndPr>
        <w:rPr>
          <w:rStyle w:val="Absatz-Standardschriftart"/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</w:rPr>
      </w:sdtEndPr>
      <w:sdtContent>
        <w:p w:rsidR="00563CB5" w:rsidRDefault="00563CB5" w:rsidP="00563CB5">
          <w:pPr>
            <w:ind w:left="-284"/>
            <w:jc w:val="center"/>
            <w:rPr>
              <w:b/>
              <w:sz w:val="44"/>
              <w:szCs w:val="44"/>
            </w:rPr>
          </w:pPr>
          <w:r w:rsidRPr="00E82B71">
            <w:rPr>
              <w:b/>
              <w:sz w:val="44"/>
              <w:szCs w:val="44"/>
            </w:rPr>
            <w:t>Perioperative Antibiotikaprophylaxe</w:t>
          </w:r>
        </w:p>
        <w:p w:rsidR="00563CB5" w:rsidRDefault="00563CB5" w:rsidP="00563CB5">
          <w:pPr>
            <w:ind w:left="-284"/>
            <w:jc w:val="center"/>
            <w:rPr>
              <w:b/>
              <w:sz w:val="44"/>
              <w:szCs w:val="44"/>
            </w:rPr>
          </w:pPr>
          <w:r w:rsidRPr="00E82B71">
            <w:rPr>
              <w:b/>
              <w:sz w:val="44"/>
              <w:szCs w:val="44"/>
            </w:rPr>
            <w:t>am LUKS</w:t>
          </w:r>
        </w:p>
        <w:p w:rsidR="00563CB5" w:rsidRDefault="0095729B" w:rsidP="004B2A93">
          <w:pPr>
            <w:rPr>
              <w:rStyle w:val="TitelDeckblattZchn"/>
            </w:rPr>
          </w:pPr>
        </w:p>
      </w:sdtContent>
    </w:sdt>
    <w:p w:rsidR="00563CB5" w:rsidRPr="005679BA" w:rsidRDefault="00563CB5" w:rsidP="004809D6"/>
    <w:p w:rsidR="00563CB5" w:rsidRDefault="00563CB5">
      <w:r>
        <w:rPr>
          <w:noProof/>
        </w:rPr>
        <w:drawing>
          <wp:anchor distT="0" distB="0" distL="114300" distR="114300" simplePos="0" relativeHeight="251664384" behindDoc="0" locked="1" layoutInCell="1" allowOverlap="0" wp14:anchorId="55D16A7A" wp14:editId="5DEEA1C3">
            <wp:simplePos x="0" y="0"/>
            <wp:positionH relativeFrom="margin">
              <wp:align>right</wp:align>
            </wp:positionH>
            <wp:positionV relativeFrom="page">
              <wp:posOffset>10153015</wp:posOffset>
            </wp:positionV>
            <wp:extent cx="1800000" cy="169200"/>
            <wp:effectExtent l="0" t="0" r="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etenz die laechelt_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82B71" w:rsidRDefault="00E82B71" w:rsidP="00E82B71">
      <w:pPr>
        <w:ind w:left="-426"/>
        <w:rPr>
          <w:b/>
          <w:sz w:val="44"/>
          <w:szCs w:val="44"/>
        </w:rPr>
      </w:pPr>
    </w:p>
    <w:p w:rsidR="00E82B71" w:rsidRDefault="00E82B71" w:rsidP="005F6B8C">
      <w:pPr>
        <w:rPr>
          <w:b/>
          <w:sz w:val="44"/>
          <w:szCs w:val="44"/>
        </w:rPr>
      </w:pPr>
    </w:p>
    <w:p w:rsidR="00E82B71" w:rsidRPr="009667DA" w:rsidRDefault="009667DA" w:rsidP="005F6B8C">
      <w:pPr>
        <w:rPr>
          <w:b/>
          <w:sz w:val="32"/>
          <w:szCs w:val="32"/>
        </w:rPr>
      </w:pPr>
      <w:r w:rsidRPr="009667DA">
        <w:rPr>
          <w:b/>
          <w:sz w:val="32"/>
          <w:szCs w:val="32"/>
        </w:rPr>
        <w:t>Teil I: Grundsätze</w:t>
      </w:r>
    </w:p>
    <w:p w:rsidR="0045536B" w:rsidRDefault="0045536B" w:rsidP="005F6B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667DA" w:rsidRDefault="009667DA" w:rsidP="005F6B8C">
      <w:pPr>
        <w:rPr>
          <w:b/>
          <w:sz w:val="32"/>
          <w:szCs w:val="32"/>
        </w:rPr>
      </w:pPr>
      <w:r w:rsidRPr="009667DA">
        <w:rPr>
          <w:b/>
          <w:sz w:val="32"/>
          <w:szCs w:val="32"/>
        </w:rPr>
        <w:t>Teil II: Empfehlungen für die einzelnen Fachgebiete</w:t>
      </w:r>
    </w:p>
    <w:p w:rsidR="005F6B8C" w:rsidRDefault="005F6B8C" w:rsidP="005F6B8C">
      <w:pPr>
        <w:rPr>
          <w:b/>
          <w:sz w:val="32"/>
          <w:szCs w:val="32"/>
        </w:rPr>
      </w:pPr>
    </w:p>
    <w:p w:rsidR="005F6B8C" w:rsidRPr="009667DA" w:rsidRDefault="005F6B8C" w:rsidP="005F6B8C">
      <w:pPr>
        <w:rPr>
          <w:b/>
          <w:sz w:val="32"/>
          <w:szCs w:val="32"/>
        </w:rPr>
      </w:pPr>
    </w:p>
    <w:p w:rsidR="00E82B71" w:rsidRDefault="00E82B71" w:rsidP="00E82B71">
      <w:pPr>
        <w:ind w:left="-426"/>
        <w:jc w:val="center"/>
        <w:rPr>
          <w:b/>
          <w:sz w:val="44"/>
          <w:szCs w:val="44"/>
        </w:rPr>
      </w:pPr>
    </w:p>
    <w:p w:rsidR="00E82B71" w:rsidRDefault="00E82B71" w:rsidP="00E82B71">
      <w:pPr>
        <w:ind w:left="-426"/>
        <w:jc w:val="center"/>
        <w:rPr>
          <w:b/>
          <w:sz w:val="44"/>
          <w:szCs w:val="44"/>
        </w:rPr>
      </w:pPr>
    </w:p>
    <w:p w:rsidR="00E82B71" w:rsidRDefault="00E82B71" w:rsidP="005F6B8C">
      <w:pPr>
        <w:rPr>
          <w:b/>
          <w:sz w:val="44"/>
          <w:szCs w:val="44"/>
        </w:rPr>
      </w:pPr>
    </w:p>
    <w:p w:rsidR="00E82B71" w:rsidRDefault="00E82B71" w:rsidP="00E82B71">
      <w:pPr>
        <w:ind w:left="-426"/>
        <w:rPr>
          <w:b/>
          <w:sz w:val="44"/>
          <w:szCs w:val="44"/>
        </w:rPr>
      </w:pPr>
    </w:p>
    <w:p w:rsidR="00E82B71" w:rsidRDefault="00E82B71" w:rsidP="00E82B71">
      <w:pPr>
        <w:ind w:left="-284"/>
        <w:rPr>
          <w:b/>
          <w:sz w:val="44"/>
          <w:szCs w:val="44"/>
        </w:rPr>
      </w:pPr>
    </w:p>
    <w:p w:rsidR="00E82B71" w:rsidRDefault="00E82B71" w:rsidP="00E82B71">
      <w:pPr>
        <w:ind w:left="-426"/>
        <w:rPr>
          <w:b/>
          <w:sz w:val="44"/>
          <w:szCs w:val="44"/>
        </w:rPr>
      </w:pPr>
    </w:p>
    <w:p w:rsidR="00E82B71" w:rsidRDefault="00E82B71" w:rsidP="00E82B71">
      <w:pPr>
        <w:ind w:left="-426"/>
        <w:rPr>
          <w:b/>
          <w:sz w:val="44"/>
          <w:szCs w:val="44"/>
        </w:rPr>
      </w:pPr>
    </w:p>
    <w:p w:rsidR="00E82B71" w:rsidRDefault="00E82B71" w:rsidP="00E82B71">
      <w:pPr>
        <w:ind w:left="-426"/>
        <w:rPr>
          <w:b/>
          <w:sz w:val="44"/>
          <w:szCs w:val="44"/>
        </w:rPr>
      </w:pPr>
    </w:p>
    <w:p w:rsidR="00E82B71" w:rsidRDefault="00E82B71" w:rsidP="00E82B71">
      <w:pPr>
        <w:ind w:left="-426"/>
        <w:rPr>
          <w:b/>
          <w:sz w:val="44"/>
          <w:szCs w:val="44"/>
        </w:rPr>
      </w:pPr>
    </w:p>
    <w:p w:rsidR="00E82B71" w:rsidRDefault="00E82B71" w:rsidP="00E82B71">
      <w:pPr>
        <w:ind w:left="-426"/>
        <w:rPr>
          <w:b/>
          <w:sz w:val="44"/>
          <w:szCs w:val="44"/>
        </w:rPr>
      </w:pPr>
    </w:p>
    <w:p w:rsidR="00E82B71" w:rsidRDefault="00E82B71" w:rsidP="00E82B71">
      <w:pPr>
        <w:ind w:left="-426"/>
        <w:rPr>
          <w:b/>
          <w:sz w:val="44"/>
          <w:szCs w:val="44"/>
        </w:rPr>
      </w:pPr>
    </w:p>
    <w:p w:rsidR="00E82B71" w:rsidRDefault="00E82B71" w:rsidP="00E82B71">
      <w:pPr>
        <w:ind w:left="-426"/>
        <w:rPr>
          <w:b/>
          <w:sz w:val="44"/>
          <w:szCs w:val="44"/>
        </w:rPr>
      </w:pPr>
    </w:p>
    <w:p w:rsidR="00E82B71" w:rsidRDefault="00E82B71" w:rsidP="00E82B71">
      <w:pPr>
        <w:ind w:left="-426"/>
        <w:rPr>
          <w:b/>
          <w:sz w:val="44"/>
          <w:szCs w:val="44"/>
        </w:rPr>
      </w:pPr>
    </w:p>
    <w:p w:rsidR="00E82B71" w:rsidRDefault="00E82B71" w:rsidP="00E82B71">
      <w:pPr>
        <w:ind w:left="-426"/>
        <w:rPr>
          <w:b/>
          <w:sz w:val="44"/>
          <w:szCs w:val="44"/>
        </w:rPr>
      </w:pPr>
    </w:p>
    <w:p w:rsidR="00E82B71" w:rsidRDefault="00E82B71" w:rsidP="00E82B71">
      <w:pPr>
        <w:ind w:left="-426"/>
        <w:rPr>
          <w:b/>
          <w:sz w:val="44"/>
          <w:szCs w:val="44"/>
        </w:rPr>
      </w:pPr>
    </w:p>
    <w:p w:rsidR="00E82B71" w:rsidRDefault="00E82B71" w:rsidP="00E82B71">
      <w:pPr>
        <w:ind w:left="-42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563CB5" w:rsidRDefault="00563CB5" w:rsidP="00E82B71">
      <w:pPr>
        <w:ind w:left="-426"/>
        <w:rPr>
          <w:b/>
          <w:sz w:val="44"/>
          <w:szCs w:val="44"/>
        </w:rPr>
      </w:pPr>
    </w:p>
    <w:p w:rsidR="00563CB5" w:rsidRDefault="00563CB5" w:rsidP="00E82B71">
      <w:pPr>
        <w:ind w:left="-426"/>
        <w:rPr>
          <w:b/>
          <w:sz w:val="44"/>
          <w:szCs w:val="44"/>
        </w:rPr>
      </w:pPr>
    </w:p>
    <w:p w:rsidR="00563CB5" w:rsidRDefault="00563CB5" w:rsidP="00E82B71">
      <w:pPr>
        <w:ind w:left="-426"/>
        <w:rPr>
          <w:b/>
          <w:sz w:val="44"/>
          <w:szCs w:val="44"/>
        </w:rPr>
      </w:pPr>
    </w:p>
    <w:p w:rsidR="00563CB5" w:rsidRDefault="00563CB5" w:rsidP="00E82B71">
      <w:pPr>
        <w:ind w:left="-426"/>
        <w:rPr>
          <w:b/>
          <w:sz w:val="44"/>
          <w:szCs w:val="44"/>
        </w:rPr>
      </w:pPr>
    </w:p>
    <w:p w:rsidR="00563CB5" w:rsidRDefault="00563CB5" w:rsidP="00E82B71">
      <w:pPr>
        <w:ind w:left="-426"/>
        <w:rPr>
          <w:b/>
          <w:sz w:val="44"/>
          <w:szCs w:val="44"/>
        </w:rPr>
      </w:pPr>
    </w:p>
    <w:p w:rsidR="00563CB5" w:rsidRDefault="00563CB5" w:rsidP="00E82B71">
      <w:pPr>
        <w:ind w:left="-426"/>
        <w:rPr>
          <w:b/>
          <w:sz w:val="44"/>
          <w:szCs w:val="44"/>
        </w:rPr>
      </w:pPr>
    </w:p>
    <w:p w:rsidR="005F6B8C" w:rsidRDefault="005F6B8C" w:rsidP="005F6B8C">
      <w:pPr>
        <w:rPr>
          <w:b/>
          <w:sz w:val="28"/>
          <w:szCs w:val="28"/>
        </w:rPr>
      </w:pPr>
      <w:r w:rsidRPr="005F6B8C">
        <w:rPr>
          <w:b/>
          <w:sz w:val="28"/>
          <w:szCs w:val="28"/>
        </w:rPr>
        <w:t>Teil I: Grundsätze</w:t>
      </w:r>
      <w:r w:rsidR="008131C0">
        <w:rPr>
          <w:b/>
          <w:sz w:val="28"/>
          <w:szCs w:val="28"/>
        </w:rPr>
        <w:t xml:space="preserve"> </w:t>
      </w:r>
    </w:p>
    <w:p w:rsidR="005F6B8C" w:rsidRDefault="005F6B8C" w:rsidP="00E82B71">
      <w:pPr>
        <w:ind w:left="-426"/>
        <w:rPr>
          <w:b/>
          <w:sz w:val="28"/>
          <w:szCs w:val="28"/>
        </w:rPr>
      </w:pPr>
    </w:p>
    <w:p w:rsidR="008131C0" w:rsidRPr="005F6B8C" w:rsidRDefault="008131C0" w:rsidP="00E82B71">
      <w:pPr>
        <w:ind w:left="-426"/>
        <w:rPr>
          <w:b/>
          <w:sz w:val="28"/>
          <w:szCs w:val="28"/>
        </w:rPr>
      </w:pPr>
    </w:p>
    <w:p w:rsidR="005F6B8C" w:rsidRDefault="005F6B8C" w:rsidP="005F6B8C">
      <w:pPr>
        <w:rPr>
          <w:b/>
        </w:rPr>
      </w:pPr>
      <w:r>
        <w:rPr>
          <w:b/>
        </w:rPr>
        <w:t>1. Erregerspektrum</w:t>
      </w:r>
    </w:p>
    <w:p w:rsidR="005F6B8C" w:rsidRDefault="005F6B8C" w:rsidP="005F6B8C">
      <w:r>
        <w:rPr>
          <w:b/>
        </w:rPr>
        <w:tab/>
      </w:r>
      <w:r w:rsidRPr="005F6B8C">
        <w:rPr>
          <w:u w:val="single"/>
        </w:rPr>
        <w:t>Hautkeime:</w:t>
      </w:r>
      <w:r w:rsidRPr="005F6B8C">
        <w:t xml:space="preserve"> </w:t>
      </w:r>
    </w:p>
    <w:p w:rsidR="005F6B8C" w:rsidRDefault="005F6B8C" w:rsidP="005F6B8C">
      <w:pPr>
        <w:pStyle w:val="Listenabsatz"/>
        <w:numPr>
          <w:ilvl w:val="0"/>
          <w:numId w:val="26"/>
        </w:numPr>
      </w:pPr>
      <w:r>
        <w:t>Staphylokokken</w:t>
      </w:r>
    </w:p>
    <w:p w:rsidR="005F6B8C" w:rsidRDefault="005F6B8C" w:rsidP="005F6B8C">
      <w:pPr>
        <w:pStyle w:val="Listenabsatz"/>
        <w:numPr>
          <w:ilvl w:val="0"/>
          <w:numId w:val="26"/>
        </w:numPr>
      </w:pPr>
      <w:r>
        <w:t>Streptokokken</w:t>
      </w:r>
    </w:p>
    <w:p w:rsidR="007A66B8" w:rsidRDefault="007A66B8" w:rsidP="005F6B8C">
      <w:pPr>
        <w:pStyle w:val="Listenabsatz"/>
        <w:numPr>
          <w:ilvl w:val="0"/>
          <w:numId w:val="26"/>
        </w:numPr>
      </w:pPr>
      <w:r w:rsidRPr="007A66B8">
        <w:rPr>
          <w:i/>
        </w:rPr>
        <w:t>Cutibacterium acnes</w:t>
      </w:r>
      <w:r>
        <w:t xml:space="preserve"> (früher </w:t>
      </w:r>
      <w:r w:rsidRPr="007A66B8">
        <w:rPr>
          <w:i/>
        </w:rPr>
        <w:t>Propionibacterium acnes</w:t>
      </w:r>
      <w:r>
        <w:t>)</w:t>
      </w:r>
    </w:p>
    <w:p w:rsidR="005F6B8C" w:rsidRDefault="005F6B8C" w:rsidP="005F6B8C">
      <w:pPr>
        <w:rPr>
          <w:u w:val="single"/>
        </w:rPr>
      </w:pPr>
      <w:r>
        <w:tab/>
      </w:r>
      <w:r w:rsidRPr="005F6B8C">
        <w:rPr>
          <w:u w:val="single"/>
        </w:rPr>
        <w:t>Gastrointestinale und urologische Eingriffe:</w:t>
      </w:r>
    </w:p>
    <w:p w:rsidR="001F617E" w:rsidRPr="001F617E" w:rsidRDefault="001F617E" w:rsidP="001F617E">
      <w:pPr>
        <w:pStyle w:val="Listenabsatz"/>
        <w:numPr>
          <w:ilvl w:val="0"/>
          <w:numId w:val="28"/>
        </w:numPr>
        <w:rPr>
          <w:u w:val="single"/>
        </w:rPr>
      </w:pPr>
      <w:r>
        <w:t>zusätzlich gramnegative Keime und Anaerobier</w:t>
      </w:r>
    </w:p>
    <w:p w:rsidR="001F617E" w:rsidRDefault="001F617E" w:rsidP="001F617E">
      <w:pPr>
        <w:rPr>
          <w:u w:val="single"/>
        </w:rPr>
      </w:pPr>
    </w:p>
    <w:p w:rsidR="001F617E" w:rsidRDefault="001F617E" w:rsidP="001F617E">
      <w:pPr>
        <w:rPr>
          <w:b/>
        </w:rPr>
      </w:pPr>
      <w:r>
        <w:rPr>
          <w:b/>
        </w:rPr>
        <w:t>2. Anforderung an Antibiotika</w:t>
      </w:r>
    </w:p>
    <w:p w:rsidR="001F617E" w:rsidRPr="001F617E" w:rsidRDefault="001F617E" w:rsidP="001F617E">
      <w:pPr>
        <w:pStyle w:val="Listenabsatz"/>
        <w:numPr>
          <w:ilvl w:val="0"/>
          <w:numId w:val="28"/>
        </w:numPr>
        <w:rPr>
          <w:b/>
        </w:rPr>
      </w:pPr>
      <w:r>
        <w:t>Gute Verträglichkeit</w:t>
      </w:r>
    </w:p>
    <w:p w:rsidR="001F617E" w:rsidRPr="001F617E" w:rsidRDefault="001F617E" w:rsidP="001F617E">
      <w:pPr>
        <w:pStyle w:val="Listenabsatz"/>
        <w:numPr>
          <w:ilvl w:val="0"/>
          <w:numId w:val="28"/>
        </w:numPr>
        <w:rPr>
          <w:b/>
        </w:rPr>
      </w:pPr>
      <w:r>
        <w:t>Wirkungsbreite passend zu erwarteten Keimen</w:t>
      </w:r>
    </w:p>
    <w:p w:rsidR="001F617E" w:rsidRPr="001F617E" w:rsidRDefault="001F617E" w:rsidP="001F617E">
      <w:pPr>
        <w:pStyle w:val="Listenabsatz"/>
        <w:numPr>
          <w:ilvl w:val="0"/>
          <w:numId w:val="28"/>
        </w:numPr>
        <w:rPr>
          <w:b/>
        </w:rPr>
      </w:pPr>
      <w:r>
        <w:t>Erwiesene Wirksamkeit in der perioperativen Prophylaxe</w:t>
      </w:r>
    </w:p>
    <w:p w:rsidR="001F617E" w:rsidRPr="001F617E" w:rsidRDefault="001F617E" w:rsidP="001F617E">
      <w:pPr>
        <w:pStyle w:val="Listenabsatz"/>
        <w:numPr>
          <w:ilvl w:val="0"/>
          <w:numId w:val="28"/>
        </w:numPr>
        <w:rPr>
          <w:b/>
        </w:rPr>
      </w:pPr>
      <w:r>
        <w:t>Kostengünstig</w:t>
      </w:r>
    </w:p>
    <w:p w:rsidR="001F617E" w:rsidRPr="001F617E" w:rsidRDefault="001F617E" w:rsidP="001F617E">
      <w:pPr>
        <w:rPr>
          <w:b/>
        </w:rPr>
      </w:pPr>
    </w:p>
    <w:p w:rsidR="001F617E" w:rsidRDefault="001F617E" w:rsidP="001F617E">
      <w:pPr>
        <w:rPr>
          <w:b/>
        </w:rPr>
      </w:pPr>
      <w:r>
        <w:rPr>
          <w:b/>
        </w:rPr>
        <w:t>3.  Optimaler Zeitpunkt der Verabreichung</w:t>
      </w:r>
    </w:p>
    <w:p w:rsidR="001F617E" w:rsidRDefault="001F617E" w:rsidP="001F617E">
      <w:pPr>
        <w:pStyle w:val="Listenabsatz"/>
        <w:numPr>
          <w:ilvl w:val="0"/>
          <w:numId w:val="29"/>
        </w:numPr>
      </w:pPr>
      <w:r>
        <w:t>Die Kurzinfusion mit dem Antibiotikum muss im Zeitfenster 60 Minuten vor Schnitt bis 0 Minuten vor Schnitt beendet sein.</w:t>
      </w:r>
    </w:p>
    <w:p w:rsidR="001F617E" w:rsidRDefault="001F617E" w:rsidP="001F617E">
      <w:pPr>
        <w:pStyle w:val="Listenabsatz"/>
        <w:numPr>
          <w:ilvl w:val="0"/>
          <w:numId w:val="29"/>
        </w:numPr>
      </w:pPr>
      <w:r>
        <w:t>In der praktischen Anwendung wird das Antibiotikum sinnvollerweise beim "Hineinfa</w:t>
      </w:r>
      <w:r>
        <w:t>h</w:t>
      </w:r>
      <w:r>
        <w:t>ren" von der Vorbereitung in den Saal verabreicht.</w:t>
      </w:r>
    </w:p>
    <w:p w:rsidR="00844671" w:rsidRDefault="00844671" w:rsidP="005A1C33">
      <w:pPr>
        <w:pStyle w:val="Listenabsatz"/>
        <w:numPr>
          <w:ilvl w:val="1"/>
          <w:numId w:val="29"/>
        </w:numPr>
        <w:rPr>
          <w:u w:val="single"/>
        </w:rPr>
      </w:pPr>
      <w:r>
        <w:rPr>
          <w:u w:val="single"/>
        </w:rPr>
        <w:t>Spezialfall Vancomycin:</w:t>
      </w:r>
      <w:r>
        <w:t xml:space="preserve"> Vancomycin 20 mg/kg KG (max.3000 mg) i.v. mit langsamer Infusionsdauer </w:t>
      </w:r>
      <w:r w:rsidR="005A1C33">
        <w:t>(max. 1000 mg/h), Ende der Infusion 60 Mi</w:t>
      </w:r>
      <w:r w:rsidR="00972482">
        <w:t xml:space="preserve">nuten bis 0 Minuten vor Schnitt. </w:t>
      </w:r>
    </w:p>
    <w:p w:rsidR="001F617E" w:rsidRPr="00844671" w:rsidRDefault="001F617E" w:rsidP="001F617E">
      <w:pPr>
        <w:pStyle w:val="Listenabsatz"/>
        <w:numPr>
          <w:ilvl w:val="1"/>
          <w:numId w:val="29"/>
        </w:numPr>
        <w:rPr>
          <w:u w:val="single"/>
        </w:rPr>
      </w:pPr>
      <w:r w:rsidRPr="00844671">
        <w:rPr>
          <w:u w:val="single"/>
        </w:rPr>
        <w:t xml:space="preserve">Spezialfall Sectio: </w:t>
      </w:r>
      <w:r>
        <w:t>Das Antibiotikum wird präop</w:t>
      </w:r>
      <w:r w:rsidR="00844671">
        <w:t>erativ (</w:t>
      </w:r>
      <w:r>
        <w:t xml:space="preserve">60 </w:t>
      </w:r>
      <w:r w:rsidR="00844671">
        <w:t>Minuten</w:t>
      </w:r>
      <w:r>
        <w:t xml:space="preserve"> bis 0 </w:t>
      </w:r>
      <w:r w:rsidR="00844671">
        <w:t>Minuten</w:t>
      </w:r>
      <w:r>
        <w:t xml:space="preserve"> vor Schnitt) verabreicht und nicht erst nach Durchtrennung der Nabelschnur</w:t>
      </w:r>
      <w:r w:rsidR="00DB60BF">
        <w:t xml:space="preserve">. </w:t>
      </w:r>
    </w:p>
    <w:p w:rsidR="00F35AA4" w:rsidRDefault="00F35AA4" w:rsidP="00F35AA4">
      <w:pPr>
        <w:rPr>
          <w:u w:val="single"/>
        </w:rPr>
      </w:pPr>
    </w:p>
    <w:p w:rsidR="00F35AA4" w:rsidRDefault="00F35AA4" w:rsidP="00F35AA4">
      <w:pPr>
        <w:rPr>
          <w:b/>
        </w:rPr>
      </w:pPr>
      <w:r>
        <w:rPr>
          <w:b/>
        </w:rPr>
        <w:t>4. Dosierung</w:t>
      </w:r>
    </w:p>
    <w:p w:rsidR="00F35AA4" w:rsidRDefault="00F35AA4" w:rsidP="00F35AA4">
      <w:pPr>
        <w:rPr>
          <w:u w:val="single"/>
        </w:rPr>
      </w:pPr>
      <w:r>
        <w:rPr>
          <w:b/>
        </w:rPr>
        <w:tab/>
      </w:r>
      <w:r>
        <w:rPr>
          <w:u w:val="single"/>
        </w:rPr>
        <w:t>Gewichtsadaptierte Dosierung:</w:t>
      </w:r>
    </w:p>
    <w:p w:rsidR="00F35AA4" w:rsidRDefault="00F35AA4" w:rsidP="00F35AA4">
      <w:pPr>
        <w:rPr>
          <w:u w:val="single"/>
        </w:rPr>
      </w:pPr>
    </w:p>
    <w:p w:rsidR="00F35AA4" w:rsidRDefault="00F35AA4" w:rsidP="00F35AA4">
      <w:r>
        <w:tab/>
      </w:r>
      <w:r w:rsidR="00DB60BF">
        <w:rPr>
          <w:noProof/>
        </w:rPr>
        <w:t>Die Erstdosis und allfällig</w:t>
      </w:r>
      <w:r w:rsidR="00972482">
        <w:rPr>
          <w:noProof/>
        </w:rPr>
        <w:t>e intraoperative Nachdosierungen</w:t>
      </w:r>
      <w:r w:rsidR="00DB60BF">
        <w:rPr>
          <w:noProof/>
        </w:rPr>
        <w:t xml:space="preserve"> erfolgen gewichtsadaptiert. Siehe Tabelle </w:t>
      </w:r>
      <w:r w:rsidR="00972482">
        <w:rPr>
          <w:noProof/>
        </w:rPr>
        <w:t>1</w:t>
      </w:r>
    </w:p>
    <w:p w:rsidR="007B7FA6" w:rsidRDefault="007B7FA6" w:rsidP="00F35AA4"/>
    <w:p w:rsidR="007B7FA6" w:rsidRDefault="007B7FA6" w:rsidP="00F35AA4">
      <w:pPr>
        <w:rPr>
          <w:b/>
        </w:rPr>
      </w:pPr>
    </w:p>
    <w:p w:rsidR="007B7FA6" w:rsidRDefault="007B7FA6" w:rsidP="00F35AA4">
      <w:pPr>
        <w:rPr>
          <w:b/>
        </w:rPr>
      </w:pPr>
      <w:r>
        <w:rPr>
          <w:b/>
        </w:rPr>
        <w:t>5. Einmaldosis</w:t>
      </w:r>
    </w:p>
    <w:p w:rsidR="007B7FA6" w:rsidRDefault="007B7FA6" w:rsidP="00F35AA4">
      <w:pPr>
        <w:rPr>
          <w:u w:val="single"/>
        </w:rPr>
      </w:pPr>
      <w:r>
        <w:rPr>
          <w:b/>
        </w:rPr>
        <w:tab/>
      </w:r>
      <w:r>
        <w:rPr>
          <w:u w:val="single"/>
        </w:rPr>
        <w:t xml:space="preserve">Grundsatz: </w:t>
      </w:r>
      <w:r w:rsidRPr="007B7FA6">
        <w:rPr>
          <w:u w:val="single"/>
        </w:rPr>
        <w:t>Die Antibiotikaprophylaxe endet mit der Operation</w:t>
      </w:r>
      <w:r>
        <w:rPr>
          <w:u w:val="single"/>
        </w:rPr>
        <w:t xml:space="preserve"> </w:t>
      </w:r>
    </w:p>
    <w:p w:rsidR="007B7FA6" w:rsidRPr="006F5EBC" w:rsidRDefault="007B7FA6" w:rsidP="00F35AA4">
      <w:pPr>
        <w:rPr>
          <w:u w:val="single"/>
        </w:rPr>
      </w:pPr>
      <w:r>
        <w:tab/>
      </w:r>
      <w:r w:rsidRPr="006F5EBC">
        <w:rPr>
          <w:u w:val="single"/>
        </w:rPr>
        <w:t>Ausnahmen:</w:t>
      </w:r>
    </w:p>
    <w:p w:rsidR="00DB60BF" w:rsidRDefault="00DB60BF" w:rsidP="00DB60BF">
      <w:pPr>
        <w:pStyle w:val="Listenabsatz"/>
        <w:numPr>
          <w:ilvl w:val="0"/>
          <w:numId w:val="31"/>
        </w:numPr>
      </w:pPr>
      <w:r>
        <w:t>Etabliert: I</w:t>
      </w:r>
      <w:r w:rsidR="00972482">
        <w:t>ntraoperative, gewichtsadaptierte</w:t>
      </w:r>
      <w:r>
        <w:t xml:space="preserve"> Nachdosierungen bei mehrstündigen Ei</w:t>
      </w:r>
      <w:r>
        <w:t>n</w:t>
      </w:r>
      <w:r>
        <w:t>griffen (siehe Tabelle</w:t>
      </w:r>
      <w:r w:rsidR="00972482">
        <w:t xml:space="preserve"> 1</w:t>
      </w:r>
      <w:r>
        <w:t>).</w:t>
      </w:r>
    </w:p>
    <w:p w:rsidR="007B7FA6" w:rsidRDefault="007B3754" w:rsidP="007B7FA6">
      <w:pPr>
        <w:pStyle w:val="Listenabsatz"/>
        <w:numPr>
          <w:ilvl w:val="0"/>
          <w:numId w:val="31"/>
        </w:numPr>
      </w:pPr>
      <w:r>
        <w:t>Mit weniger Evidenz</w:t>
      </w:r>
      <w:r w:rsidR="00DB60BF">
        <w:t xml:space="preserve">: </w:t>
      </w:r>
      <w:r w:rsidR="007B7FA6">
        <w:t>Verlängerung maximal 24 Stunden (total 4 Dosen) bei grossen Implantaten</w:t>
      </w:r>
      <w:r w:rsidR="00005EDE">
        <w:t xml:space="preserve"> wie Gelenksprothesen und Herzklappen</w:t>
      </w:r>
      <w:r w:rsidR="007B7FA6">
        <w:t xml:space="preserve"> (Norwegische Registerstudie: Engesaeter et al, 2003)</w:t>
      </w:r>
      <w:r w:rsidR="00005EDE">
        <w:t>.</w:t>
      </w:r>
    </w:p>
    <w:p w:rsidR="006F5EBC" w:rsidRDefault="006F5EBC" w:rsidP="006F5EBC"/>
    <w:p w:rsidR="00D23164" w:rsidRDefault="00B07273" w:rsidP="006F5EBC">
      <w:pPr>
        <w:rPr>
          <w:sz w:val="20"/>
          <w:szCs w:val="20"/>
        </w:rPr>
      </w:pPr>
      <w:r w:rsidRPr="00B0727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07273">
        <w:rPr>
          <w:sz w:val="20"/>
          <w:szCs w:val="20"/>
        </w:rPr>
        <w:t xml:space="preserve"> </w:t>
      </w:r>
    </w:p>
    <w:p w:rsidR="00D23164" w:rsidRDefault="00D23164" w:rsidP="006F5EBC">
      <w:pPr>
        <w:rPr>
          <w:sz w:val="20"/>
          <w:szCs w:val="20"/>
        </w:rPr>
      </w:pPr>
    </w:p>
    <w:p w:rsidR="00DB075A" w:rsidRPr="00DB075A" w:rsidRDefault="00D23164" w:rsidP="00D23164">
      <w:pPr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 w:rsidR="00DB075A" w:rsidRPr="00DB075A">
        <w:rPr>
          <w:sz w:val="20"/>
          <w:szCs w:val="20"/>
        </w:rPr>
        <w:t>Tabelle</w:t>
      </w:r>
      <w:r w:rsidR="00AF1D29">
        <w:rPr>
          <w:sz w:val="20"/>
          <w:szCs w:val="20"/>
        </w:rPr>
        <w:t xml:space="preserve"> 1</w:t>
      </w:r>
      <w:r w:rsidR="00DB075A" w:rsidRPr="00DB075A">
        <w:rPr>
          <w:sz w:val="20"/>
          <w:szCs w:val="20"/>
        </w:rPr>
        <w:t xml:space="preserve">: </w:t>
      </w:r>
      <w:r w:rsidR="00DB075A" w:rsidRPr="00DB075A">
        <w:rPr>
          <w:b/>
          <w:sz w:val="20"/>
          <w:szCs w:val="20"/>
        </w:rPr>
        <w:t xml:space="preserve">Dosierung </w:t>
      </w:r>
      <w:r>
        <w:rPr>
          <w:b/>
          <w:sz w:val="20"/>
          <w:szCs w:val="20"/>
        </w:rPr>
        <w:t xml:space="preserve">der Antibiotikaprophylaxe </w:t>
      </w:r>
    </w:p>
    <w:p w:rsidR="006F5EBC" w:rsidRDefault="006F5EBC" w:rsidP="006F5EBC"/>
    <w:tbl>
      <w:tblPr>
        <w:tblStyle w:val="TabelleohneGitternetzlinienStandard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044"/>
        <w:gridCol w:w="1333"/>
        <w:gridCol w:w="1337"/>
        <w:gridCol w:w="1574"/>
        <w:gridCol w:w="1333"/>
        <w:gridCol w:w="1570"/>
      </w:tblGrid>
      <w:tr w:rsidR="00DE395C" w:rsidRPr="00166E0B" w:rsidTr="00005EDE">
        <w:trPr>
          <w:trHeight w:val="1158"/>
        </w:trPr>
        <w:tc>
          <w:tcPr>
            <w:tcW w:w="723" w:type="pct"/>
            <w:shd w:val="clear" w:color="auto" w:fill="E6F0FA"/>
          </w:tcPr>
          <w:p w:rsidR="00DE395C" w:rsidRPr="00166E0B" w:rsidRDefault="00DE395C" w:rsidP="00166E0B">
            <w:pPr>
              <w:jc w:val="center"/>
              <w:rPr>
                <w:i/>
              </w:rPr>
            </w:pPr>
          </w:p>
        </w:tc>
        <w:tc>
          <w:tcPr>
            <w:tcW w:w="1939" w:type="pct"/>
            <w:gridSpan w:val="3"/>
            <w:shd w:val="clear" w:color="auto" w:fill="E6F0FA"/>
          </w:tcPr>
          <w:p w:rsidR="00DE395C" w:rsidRPr="0036729F" w:rsidRDefault="00DE395C" w:rsidP="00166E0B">
            <w:pPr>
              <w:jc w:val="center"/>
              <w:rPr>
                <w:i/>
                <w:sz w:val="20"/>
                <w:szCs w:val="20"/>
              </w:rPr>
            </w:pPr>
          </w:p>
          <w:p w:rsidR="00DE395C" w:rsidRPr="00AC27CA" w:rsidRDefault="00DE395C" w:rsidP="00166E0B">
            <w:pPr>
              <w:jc w:val="center"/>
              <w:rPr>
                <w:b/>
                <w:sz w:val="20"/>
                <w:szCs w:val="20"/>
              </w:rPr>
            </w:pPr>
            <w:r w:rsidRPr="00AC27CA">
              <w:rPr>
                <w:b/>
                <w:sz w:val="20"/>
                <w:szCs w:val="20"/>
              </w:rPr>
              <w:t xml:space="preserve">Gewichtsadaptierte Erstdosis </w:t>
            </w:r>
          </w:p>
          <w:p w:rsidR="00DE395C" w:rsidRPr="0036729F" w:rsidRDefault="00DE395C" w:rsidP="00D231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39" w:type="pct"/>
            <w:gridSpan w:val="3"/>
            <w:shd w:val="clear" w:color="auto" w:fill="E6F0FA"/>
            <w:vAlign w:val="center"/>
          </w:tcPr>
          <w:p w:rsidR="00DE395C" w:rsidRPr="00AC27CA" w:rsidRDefault="00DE395C" w:rsidP="00DE395C">
            <w:pPr>
              <w:jc w:val="center"/>
              <w:rPr>
                <w:b/>
                <w:sz w:val="20"/>
                <w:szCs w:val="20"/>
              </w:rPr>
            </w:pPr>
            <w:r w:rsidRPr="00AC27CA">
              <w:rPr>
                <w:b/>
                <w:sz w:val="20"/>
                <w:szCs w:val="20"/>
              </w:rPr>
              <w:t xml:space="preserve">Intervall für die Dosiswiederholung </w:t>
            </w:r>
            <w:r w:rsidR="00D23164">
              <w:rPr>
                <w:b/>
                <w:sz w:val="20"/>
                <w:szCs w:val="20"/>
              </w:rPr>
              <w:t>(</w:t>
            </w:r>
            <w:r w:rsidRPr="00AC27CA">
              <w:rPr>
                <w:b/>
                <w:sz w:val="20"/>
                <w:szCs w:val="20"/>
              </w:rPr>
              <w:t>in h</w:t>
            </w:r>
            <w:r w:rsidR="00D23164">
              <w:rPr>
                <w:b/>
                <w:sz w:val="20"/>
                <w:szCs w:val="20"/>
              </w:rPr>
              <w:t>)</w:t>
            </w:r>
            <w:r w:rsidRPr="00AC27CA">
              <w:rPr>
                <w:b/>
                <w:sz w:val="20"/>
                <w:szCs w:val="20"/>
              </w:rPr>
              <w:t xml:space="preserve"> ab</w:t>
            </w:r>
            <w:r w:rsidR="004B2A93">
              <w:rPr>
                <w:b/>
                <w:sz w:val="20"/>
                <w:szCs w:val="20"/>
              </w:rPr>
              <w:t>hängig von Kreatinincleara</w:t>
            </w:r>
            <w:r w:rsidRPr="00AC27CA">
              <w:rPr>
                <w:b/>
                <w:sz w:val="20"/>
                <w:szCs w:val="20"/>
              </w:rPr>
              <w:t>nce</w:t>
            </w:r>
          </w:p>
          <w:p w:rsidR="00DE395C" w:rsidRPr="00CB3F75" w:rsidRDefault="00DE395C" w:rsidP="00CB3F75">
            <w:pPr>
              <w:jc w:val="center"/>
              <w:rPr>
                <w:i/>
              </w:rPr>
            </w:pPr>
            <w:r w:rsidRPr="00CB3F75">
              <w:rPr>
                <w:i/>
                <w:sz w:val="20"/>
                <w:szCs w:val="20"/>
              </w:rPr>
              <w:t>(</w:t>
            </w:r>
            <w:r w:rsidR="00CB3F75" w:rsidRPr="00CB3F75">
              <w:rPr>
                <w:i/>
                <w:sz w:val="20"/>
                <w:szCs w:val="20"/>
              </w:rPr>
              <w:t>ebenfalls g</w:t>
            </w:r>
            <w:r w:rsidR="00D23164">
              <w:rPr>
                <w:i/>
                <w:sz w:val="20"/>
                <w:szCs w:val="20"/>
              </w:rPr>
              <w:t>ewichtsadaptiert</w:t>
            </w:r>
            <w:r w:rsidRPr="00CB3F75">
              <w:rPr>
                <w:i/>
                <w:sz w:val="20"/>
                <w:szCs w:val="20"/>
              </w:rPr>
              <w:t>)</w:t>
            </w:r>
          </w:p>
        </w:tc>
      </w:tr>
      <w:tr w:rsidR="0036729F" w:rsidTr="00005EDE">
        <w:trPr>
          <w:trHeight w:val="462"/>
        </w:trPr>
        <w:tc>
          <w:tcPr>
            <w:tcW w:w="723" w:type="pct"/>
            <w:shd w:val="clear" w:color="auto" w:fill="E6F0FA"/>
            <w:vAlign w:val="center"/>
          </w:tcPr>
          <w:p w:rsidR="006C604C" w:rsidRPr="00166E0B" w:rsidRDefault="006C604C" w:rsidP="0073202D">
            <w:pPr>
              <w:jc w:val="center"/>
              <w:rPr>
                <w:b/>
              </w:rPr>
            </w:pPr>
          </w:p>
        </w:tc>
        <w:tc>
          <w:tcPr>
            <w:tcW w:w="545" w:type="pct"/>
            <w:shd w:val="clear" w:color="auto" w:fill="E6F0FA"/>
            <w:vAlign w:val="center"/>
          </w:tcPr>
          <w:p w:rsidR="006C604C" w:rsidRPr="00AC27CA" w:rsidRDefault="006C604C" w:rsidP="0073202D">
            <w:pPr>
              <w:jc w:val="center"/>
              <w:rPr>
                <w:b/>
                <w:sz w:val="20"/>
                <w:szCs w:val="20"/>
              </w:rPr>
            </w:pPr>
            <w:r w:rsidRPr="00AC27CA">
              <w:rPr>
                <w:b/>
                <w:sz w:val="20"/>
                <w:szCs w:val="20"/>
              </w:rPr>
              <w:t>&lt; 80 kg</w:t>
            </w:r>
          </w:p>
        </w:tc>
        <w:tc>
          <w:tcPr>
            <w:tcW w:w="696" w:type="pct"/>
            <w:shd w:val="clear" w:color="auto" w:fill="E6F0FA"/>
            <w:vAlign w:val="center"/>
          </w:tcPr>
          <w:p w:rsidR="006C604C" w:rsidRPr="00AC27CA" w:rsidRDefault="006C604C" w:rsidP="0073202D">
            <w:pPr>
              <w:jc w:val="center"/>
              <w:rPr>
                <w:b/>
                <w:sz w:val="20"/>
                <w:szCs w:val="20"/>
              </w:rPr>
            </w:pPr>
            <w:r w:rsidRPr="00AC27CA">
              <w:rPr>
                <w:b/>
                <w:sz w:val="20"/>
                <w:szCs w:val="20"/>
              </w:rPr>
              <w:t>81 – 120 kg</w:t>
            </w:r>
          </w:p>
        </w:tc>
        <w:tc>
          <w:tcPr>
            <w:tcW w:w="698" w:type="pct"/>
            <w:shd w:val="clear" w:color="auto" w:fill="E6F0FA"/>
            <w:vAlign w:val="center"/>
          </w:tcPr>
          <w:p w:rsidR="006C604C" w:rsidRPr="00AC27CA" w:rsidRDefault="006C604C" w:rsidP="0073202D">
            <w:pPr>
              <w:jc w:val="center"/>
              <w:rPr>
                <w:b/>
                <w:sz w:val="20"/>
                <w:szCs w:val="20"/>
              </w:rPr>
            </w:pPr>
            <w:r w:rsidRPr="00AC27CA">
              <w:rPr>
                <w:b/>
                <w:sz w:val="20"/>
                <w:szCs w:val="20"/>
              </w:rPr>
              <w:t>&gt;120 kg</w:t>
            </w:r>
          </w:p>
        </w:tc>
        <w:tc>
          <w:tcPr>
            <w:tcW w:w="822" w:type="pct"/>
            <w:shd w:val="clear" w:color="auto" w:fill="E6F0FA"/>
            <w:vAlign w:val="center"/>
          </w:tcPr>
          <w:p w:rsidR="006C604C" w:rsidRPr="00AC27CA" w:rsidRDefault="006C604C" w:rsidP="0073202D">
            <w:pPr>
              <w:jc w:val="center"/>
              <w:rPr>
                <w:b/>
                <w:sz w:val="20"/>
                <w:szCs w:val="20"/>
              </w:rPr>
            </w:pPr>
            <w:r w:rsidRPr="00AC27CA">
              <w:rPr>
                <w:b/>
                <w:sz w:val="20"/>
                <w:szCs w:val="20"/>
              </w:rPr>
              <w:t>&gt; 50 ml/min</w:t>
            </w:r>
          </w:p>
        </w:tc>
        <w:tc>
          <w:tcPr>
            <w:tcW w:w="696" w:type="pct"/>
            <w:shd w:val="clear" w:color="auto" w:fill="E6F0FA"/>
            <w:vAlign w:val="center"/>
          </w:tcPr>
          <w:p w:rsidR="006C604C" w:rsidRPr="00AC27CA" w:rsidRDefault="006C604C" w:rsidP="0073202D">
            <w:pPr>
              <w:jc w:val="center"/>
              <w:rPr>
                <w:b/>
                <w:sz w:val="20"/>
                <w:szCs w:val="20"/>
              </w:rPr>
            </w:pPr>
            <w:r w:rsidRPr="00AC27CA">
              <w:rPr>
                <w:b/>
                <w:sz w:val="20"/>
                <w:szCs w:val="20"/>
              </w:rPr>
              <w:t>20 bis 50 ml/min</w:t>
            </w:r>
          </w:p>
        </w:tc>
        <w:tc>
          <w:tcPr>
            <w:tcW w:w="821" w:type="pct"/>
            <w:shd w:val="clear" w:color="auto" w:fill="E6F0FA"/>
            <w:vAlign w:val="center"/>
          </w:tcPr>
          <w:p w:rsidR="006C604C" w:rsidRPr="00AC27CA" w:rsidRDefault="006C604C" w:rsidP="0073202D">
            <w:pPr>
              <w:jc w:val="center"/>
              <w:rPr>
                <w:b/>
                <w:sz w:val="20"/>
                <w:szCs w:val="20"/>
              </w:rPr>
            </w:pPr>
            <w:r w:rsidRPr="00AC27CA">
              <w:rPr>
                <w:b/>
                <w:sz w:val="20"/>
                <w:szCs w:val="20"/>
              </w:rPr>
              <w:t>&lt; 20 ml/min</w:t>
            </w:r>
          </w:p>
        </w:tc>
      </w:tr>
      <w:tr w:rsidR="0073202D" w:rsidTr="00005EDE">
        <w:trPr>
          <w:trHeight w:val="224"/>
        </w:trPr>
        <w:tc>
          <w:tcPr>
            <w:tcW w:w="723" w:type="pct"/>
            <w:shd w:val="clear" w:color="auto" w:fill="FFFFFF" w:themeFill="background1"/>
            <w:vAlign w:val="center"/>
          </w:tcPr>
          <w:p w:rsidR="006C604C" w:rsidRPr="00AC27CA" w:rsidRDefault="002254AB" w:rsidP="0073202D">
            <w:pPr>
              <w:jc w:val="center"/>
              <w:rPr>
                <w:b/>
                <w:sz w:val="16"/>
                <w:szCs w:val="16"/>
              </w:rPr>
            </w:pPr>
            <w:r w:rsidRPr="00AC27CA">
              <w:rPr>
                <w:b/>
                <w:sz w:val="16"/>
                <w:szCs w:val="16"/>
              </w:rPr>
              <w:t>Cefazolin</w:t>
            </w:r>
          </w:p>
        </w:tc>
        <w:tc>
          <w:tcPr>
            <w:tcW w:w="545" w:type="pct"/>
            <w:vAlign w:val="center"/>
          </w:tcPr>
          <w:p w:rsidR="006C604C" w:rsidRPr="0036729F" w:rsidRDefault="00D23164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</w:t>
            </w:r>
          </w:p>
        </w:tc>
        <w:tc>
          <w:tcPr>
            <w:tcW w:w="696" w:type="pct"/>
            <w:vAlign w:val="center"/>
          </w:tcPr>
          <w:p w:rsidR="006C604C" w:rsidRPr="0036729F" w:rsidRDefault="00D23164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</w:t>
            </w:r>
          </w:p>
        </w:tc>
        <w:tc>
          <w:tcPr>
            <w:tcW w:w="698" w:type="pct"/>
            <w:vAlign w:val="center"/>
          </w:tcPr>
          <w:p w:rsidR="006C604C" w:rsidRPr="0036729F" w:rsidRDefault="00D23164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</w:t>
            </w:r>
          </w:p>
        </w:tc>
        <w:tc>
          <w:tcPr>
            <w:tcW w:w="822" w:type="pct"/>
            <w:vAlign w:val="center"/>
          </w:tcPr>
          <w:p w:rsidR="006C604C" w:rsidRPr="0036729F" w:rsidRDefault="002254AB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4</w:t>
            </w:r>
          </w:p>
        </w:tc>
        <w:tc>
          <w:tcPr>
            <w:tcW w:w="696" w:type="pct"/>
            <w:vAlign w:val="center"/>
          </w:tcPr>
          <w:p w:rsidR="006C604C" w:rsidRPr="0036729F" w:rsidRDefault="002254AB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8</w:t>
            </w:r>
          </w:p>
        </w:tc>
        <w:tc>
          <w:tcPr>
            <w:tcW w:w="821" w:type="pct"/>
            <w:vAlign w:val="center"/>
          </w:tcPr>
          <w:p w:rsidR="006C604C" w:rsidRPr="0036729F" w:rsidRDefault="002254AB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16</w:t>
            </w:r>
          </w:p>
        </w:tc>
      </w:tr>
      <w:tr w:rsidR="0036729F" w:rsidTr="00005EDE">
        <w:trPr>
          <w:trHeight w:val="236"/>
        </w:trPr>
        <w:tc>
          <w:tcPr>
            <w:tcW w:w="723" w:type="pct"/>
            <w:shd w:val="clear" w:color="auto" w:fill="F2F2F2" w:themeFill="background1" w:themeFillShade="F2"/>
            <w:vAlign w:val="center"/>
          </w:tcPr>
          <w:p w:rsidR="006C604C" w:rsidRPr="00AC27CA" w:rsidRDefault="002254AB" w:rsidP="0073202D">
            <w:pPr>
              <w:jc w:val="center"/>
              <w:rPr>
                <w:b/>
                <w:sz w:val="16"/>
                <w:szCs w:val="16"/>
              </w:rPr>
            </w:pPr>
            <w:r w:rsidRPr="00AC27CA">
              <w:rPr>
                <w:b/>
                <w:sz w:val="16"/>
                <w:szCs w:val="16"/>
              </w:rPr>
              <w:t>Cefuroxime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:rsidR="006C604C" w:rsidRPr="0036729F" w:rsidRDefault="00D23164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g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C604C" w:rsidRPr="0036729F" w:rsidRDefault="00D23164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:rsidR="006C604C" w:rsidRPr="0036729F" w:rsidRDefault="00D23164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</w:t>
            </w:r>
          </w:p>
        </w:tc>
        <w:tc>
          <w:tcPr>
            <w:tcW w:w="822" w:type="pct"/>
            <w:shd w:val="clear" w:color="auto" w:fill="F2F2F2" w:themeFill="background1" w:themeFillShade="F2"/>
            <w:vAlign w:val="center"/>
          </w:tcPr>
          <w:p w:rsidR="006C604C" w:rsidRPr="0036729F" w:rsidRDefault="002254AB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4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C604C" w:rsidRPr="0036729F" w:rsidRDefault="002254AB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6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:rsidR="006C604C" w:rsidRPr="0036729F" w:rsidRDefault="002254AB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12</w:t>
            </w:r>
          </w:p>
        </w:tc>
      </w:tr>
      <w:tr w:rsidR="0073202D" w:rsidTr="00005EDE">
        <w:trPr>
          <w:trHeight w:val="224"/>
        </w:trPr>
        <w:tc>
          <w:tcPr>
            <w:tcW w:w="723" w:type="pct"/>
            <w:shd w:val="clear" w:color="auto" w:fill="FFFFFF" w:themeFill="background1"/>
            <w:vAlign w:val="center"/>
          </w:tcPr>
          <w:p w:rsidR="006C604C" w:rsidRPr="00AC27CA" w:rsidRDefault="00F74F23" w:rsidP="0073202D">
            <w:pPr>
              <w:jc w:val="center"/>
              <w:rPr>
                <w:b/>
                <w:sz w:val="16"/>
                <w:szCs w:val="16"/>
              </w:rPr>
            </w:pPr>
            <w:r w:rsidRPr="00AC27CA">
              <w:rPr>
                <w:b/>
                <w:sz w:val="16"/>
                <w:szCs w:val="16"/>
              </w:rPr>
              <w:t>Cotrimoxazol</w:t>
            </w:r>
          </w:p>
        </w:tc>
        <w:tc>
          <w:tcPr>
            <w:tcW w:w="545" w:type="pct"/>
            <w:vAlign w:val="center"/>
          </w:tcPr>
          <w:p w:rsidR="006C604C" w:rsidRPr="0036729F" w:rsidRDefault="008F549B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Amp</w:t>
            </w:r>
          </w:p>
        </w:tc>
        <w:tc>
          <w:tcPr>
            <w:tcW w:w="696" w:type="pct"/>
            <w:vAlign w:val="center"/>
          </w:tcPr>
          <w:p w:rsidR="006C604C" w:rsidRPr="0036729F" w:rsidRDefault="00C536EB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Amp</w:t>
            </w:r>
          </w:p>
        </w:tc>
        <w:tc>
          <w:tcPr>
            <w:tcW w:w="698" w:type="pct"/>
            <w:vAlign w:val="center"/>
          </w:tcPr>
          <w:p w:rsidR="006C604C" w:rsidRPr="0036729F" w:rsidRDefault="00C536EB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Amp</w:t>
            </w:r>
          </w:p>
        </w:tc>
        <w:tc>
          <w:tcPr>
            <w:tcW w:w="822" w:type="pct"/>
            <w:vAlign w:val="center"/>
          </w:tcPr>
          <w:p w:rsidR="00D23164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keine Wieder</w:t>
            </w:r>
            <w:r w:rsidR="00D23164">
              <w:rPr>
                <w:sz w:val="16"/>
                <w:szCs w:val="16"/>
              </w:rPr>
              <w:t>-</w:t>
            </w:r>
          </w:p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holung</w:t>
            </w:r>
          </w:p>
        </w:tc>
        <w:tc>
          <w:tcPr>
            <w:tcW w:w="696" w:type="pct"/>
            <w:vAlign w:val="center"/>
          </w:tcPr>
          <w:p w:rsidR="00C536EB" w:rsidRDefault="00C536EB" w:rsidP="00C536EB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keine Wieder</w:t>
            </w:r>
            <w:r>
              <w:rPr>
                <w:sz w:val="16"/>
                <w:szCs w:val="16"/>
              </w:rPr>
              <w:t>-</w:t>
            </w:r>
          </w:p>
          <w:p w:rsidR="006C604C" w:rsidRPr="0036729F" w:rsidRDefault="00C536EB" w:rsidP="00C536EB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holung</w:t>
            </w:r>
          </w:p>
        </w:tc>
        <w:tc>
          <w:tcPr>
            <w:tcW w:w="821" w:type="pct"/>
            <w:vAlign w:val="center"/>
          </w:tcPr>
          <w:p w:rsidR="00C536EB" w:rsidRDefault="00C536EB" w:rsidP="00C536EB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keine Wieder</w:t>
            </w:r>
            <w:r>
              <w:rPr>
                <w:sz w:val="16"/>
                <w:szCs w:val="16"/>
              </w:rPr>
              <w:t>-</w:t>
            </w:r>
          </w:p>
          <w:p w:rsidR="006C604C" w:rsidRPr="0036729F" w:rsidRDefault="00C536EB" w:rsidP="00C536EB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holung</w:t>
            </w:r>
          </w:p>
        </w:tc>
      </w:tr>
      <w:tr w:rsidR="0036729F" w:rsidTr="00005EDE">
        <w:trPr>
          <w:trHeight w:val="378"/>
        </w:trPr>
        <w:tc>
          <w:tcPr>
            <w:tcW w:w="723" w:type="pct"/>
            <w:shd w:val="clear" w:color="auto" w:fill="F2F2F2" w:themeFill="background1" w:themeFillShade="F2"/>
            <w:vAlign w:val="center"/>
          </w:tcPr>
          <w:p w:rsidR="006C604C" w:rsidRPr="00AC27CA" w:rsidRDefault="00F74F23" w:rsidP="0073202D">
            <w:pPr>
              <w:jc w:val="center"/>
              <w:rPr>
                <w:b/>
                <w:sz w:val="16"/>
                <w:szCs w:val="16"/>
              </w:rPr>
            </w:pPr>
            <w:r w:rsidRPr="00AC27CA">
              <w:rPr>
                <w:b/>
                <w:sz w:val="16"/>
                <w:szCs w:val="16"/>
              </w:rPr>
              <w:t>Ciprofloxacin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400 mg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400 mg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400 mg</w:t>
            </w:r>
          </w:p>
        </w:tc>
        <w:tc>
          <w:tcPr>
            <w:tcW w:w="822" w:type="pct"/>
            <w:shd w:val="clear" w:color="auto" w:fill="F2F2F2" w:themeFill="background1" w:themeFillShade="F2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8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12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keine Wieder</w:t>
            </w:r>
            <w:r w:rsidR="00D23164">
              <w:rPr>
                <w:sz w:val="16"/>
                <w:szCs w:val="16"/>
              </w:rPr>
              <w:t>-</w:t>
            </w:r>
            <w:r w:rsidRPr="0036729F">
              <w:rPr>
                <w:sz w:val="16"/>
                <w:szCs w:val="16"/>
              </w:rPr>
              <w:t>holung</w:t>
            </w:r>
          </w:p>
        </w:tc>
      </w:tr>
      <w:tr w:rsidR="0073202D" w:rsidTr="00005EDE">
        <w:trPr>
          <w:trHeight w:val="236"/>
        </w:trPr>
        <w:tc>
          <w:tcPr>
            <w:tcW w:w="723" w:type="pct"/>
            <w:shd w:val="clear" w:color="auto" w:fill="FFFFFF" w:themeFill="background1"/>
            <w:vAlign w:val="center"/>
          </w:tcPr>
          <w:p w:rsidR="006C604C" w:rsidRPr="00AC27CA" w:rsidRDefault="00F74F23" w:rsidP="0073202D">
            <w:pPr>
              <w:jc w:val="center"/>
              <w:rPr>
                <w:b/>
                <w:sz w:val="16"/>
                <w:szCs w:val="16"/>
              </w:rPr>
            </w:pPr>
            <w:r w:rsidRPr="00AC27CA">
              <w:rPr>
                <w:b/>
                <w:sz w:val="16"/>
                <w:szCs w:val="16"/>
              </w:rPr>
              <w:t>Clindamycin</w:t>
            </w:r>
          </w:p>
        </w:tc>
        <w:tc>
          <w:tcPr>
            <w:tcW w:w="545" w:type="pct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600 mg</w:t>
            </w:r>
          </w:p>
        </w:tc>
        <w:tc>
          <w:tcPr>
            <w:tcW w:w="696" w:type="pct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900 mg</w:t>
            </w:r>
          </w:p>
        </w:tc>
        <w:tc>
          <w:tcPr>
            <w:tcW w:w="698" w:type="pct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900 mg</w:t>
            </w:r>
          </w:p>
        </w:tc>
        <w:tc>
          <w:tcPr>
            <w:tcW w:w="822" w:type="pct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6</w:t>
            </w:r>
          </w:p>
        </w:tc>
        <w:tc>
          <w:tcPr>
            <w:tcW w:w="696" w:type="pct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6</w:t>
            </w:r>
          </w:p>
        </w:tc>
        <w:tc>
          <w:tcPr>
            <w:tcW w:w="821" w:type="pct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6</w:t>
            </w:r>
          </w:p>
        </w:tc>
      </w:tr>
      <w:tr w:rsidR="0036729F" w:rsidTr="00005EDE">
        <w:trPr>
          <w:trHeight w:val="566"/>
        </w:trPr>
        <w:tc>
          <w:tcPr>
            <w:tcW w:w="723" w:type="pct"/>
            <w:shd w:val="clear" w:color="auto" w:fill="F2F2F2" w:themeFill="background1" w:themeFillShade="F2"/>
            <w:vAlign w:val="center"/>
          </w:tcPr>
          <w:p w:rsidR="006C604C" w:rsidRPr="00AC27CA" w:rsidRDefault="004B2A93" w:rsidP="00732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Gentamicin</w:t>
            </w:r>
            <w:r w:rsidR="00F74F23" w:rsidRPr="00AC27CA">
              <w:rPr>
                <w:b/>
                <w:sz w:val="16"/>
                <w:szCs w:val="16"/>
              </w:rPr>
              <w:t>/ Tobramycin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5 mg/kg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C604C" w:rsidRPr="0036729F" w:rsidRDefault="007B3754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mg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:rsidR="006C604C" w:rsidRPr="0036729F" w:rsidRDefault="007B3754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 mg</w:t>
            </w:r>
          </w:p>
        </w:tc>
        <w:tc>
          <w:tcPr>
            <w:tcW w:w="822" w:type="pct"/>
            <w:shd w:val="clear" w:color="auto" w:fill="F2F2F2" w:themeFill="background1" w:themeFillShade="F2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keine Wieder</w:t>
            </w:r>
            <w:r w:rsidR="00D23164">
              <w:rPr>
                <w:sz w:val="16"/>
                <w:szCs w:val="16"/>
              </w:rPr>
              <w:t>-</w:t>
            </w:r>
            <w:r w:rsidRPr="0036729F">
              <w:rPr>
                <w:sz w:val="16"/>
                <w:szCs w:val="16"/>
              </w:rPr>
              <w:t>holung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keine Wiede</w:t>
            </w:r>
            <w:r w:rsidRPr="0036729F">
              <w:rPr>
                <w:sz w:val="16"/>
                <w:szCs w:val="16"/>
              </w:rPr>
              <w:t>r</w:t>
            </w:r>
            <w:r w:rsidRPr="0036729F">
              <w:rPr>
                <w:sz w:val="16"/>
                <w:szCs w:val="16"/>
              </w:rPr>
              <w:t>holung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keine Wieder</w:t>
            </w:r>
            <w:r w:rsidR="00D23164">
              <w:rPr>
                <w:sz w:val="16"/>
                <w:szCs w:val="16"/>
              </w:rPr>
              <w:t>-</w:t>
            </w:r>
            <w:r w:rsidRPr="0036729F">
              <w:rPr>
                <w:sz w:val="16"/>
                <w:szCs w:val="16"/>
              </w:rPr>
              <w:t>holung</w:t>
            </w:r>
          </w:p>
        </w:tc>
      </w:tr>
      <w:tr w:rsidR="0073202D" w:rsidTr="00005EDE">
        <w:trPr>
          <w:trHeight w:val="378"/>
        </w:trPr>
        <w:tc>
          <w:tcPr>
            <w:tcW w:w="723" w:type="pct"/>
            <w:shd w:val="clear" w:color="auto" w:fill="FFFFFF" w:themeFill="background1"/>
            <w:vAlign w:val="center"/>
          </w:tcPr>
          <w:p w:rsidR="006C604C" w:rsidRPr="00AC27CA" w:rsidRDefault="00F74F23" w:rsidP="0073202D">
            <w:pPr>
              <w:jc w:val="center"/>
              <w:rPr>
                <w:b/>
                <w:sz w:val="16"/>
                <w:szCs w:val="16"/>
              </w:rPr>
            </w:pPr>
            <w:r w:rsidRPr="00AC27CA">
              <w:rPr>
                <w:b/>
                <w:sz w:val="16"/>
                <w:szCs w:val="16"/>
              </w:rPr>
              <w:t>Metronidazol</w:t>
            </w:r>
          </w:p>
        </w:tc>
        <w:tc>
          <w:tcPr>
            <w:tcW w:w="545" w:type="pct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500 mg</w:t>
            </w:r>
          </w:p>
        </w:tc>
        <w:tc>
          <w:tcPr>
            <w:tcW w:w="696" w:type="pct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1000 mg</w:t>
            </w:r>
          </w:p>
        </w:tc>
        <w:tc>
          <w:tcPr>
            <w:tcW w:w="698" w:type="pct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1000 mg</w:t>
            </w:r>
          </w:p>
        </w:tc>
        <w:tc>
          <w:tcPr>
            <w:tcW w:w="822" w:type="pct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8</w:t>
            </w:r>
          </w:p>
        </w:tc>
        <w:tc>
          <w:tcPr>
            <w:tcW w:w="696" w:type="pct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8</w:t>
            </w:r>
          </w:p>
        </w:tc>
        <w:tc>
          <w:tcPr>
            <w:tcW w:w="821" w:type="pct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8</w:t>
            </w:r>
          </w:p>
        </w:tc>
      </w:tr>
      <w:tr w:rsidR="0036729F" w:rsidTr="00005EDE">
        <w:trPr>
          <w:trHeight w:val="505"/>
        </w:trPr>
        <w:tc>
          <w:tcPr>
            <w:tcW w:w="723" w:type="pct"/>
            <w:shd w:val="clear" w:color="auto" w:fill="F2F2F2" w:themeFill="background1" w:themeFillShade="F2"/>
            <w:vAlign w:val="center"/>
          </w:tcPr>
          <w:p w:rsidR="006C604C" w:rsidRPr="00AC27CA" w:rsidRDefault="00F74F23" w:rsidP="0073202D">
            <w:pPr>
              <w:jc w:val="center"/>
              <w:rPr>
                <w:b/>
                <w:sz w:val="16"/>
                <w:szCs w:val="16"/>
              </w:rPr>
            </w:pPr>
            <w:r w:rsidRPr="00AC27CA">
              <w:rPr>
                <w:b/>
                <w:sz w:val="16"/>
                <w:szCs w:val="16"/>
              </w:rPr>
              <w:t>Vancomycin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:rsidR="006C604C" w:rsidRPr="0036729F" w:rsidRDefault="00F74F23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20 mg/kg/KG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C604C" w:rsidRPr="0036729F" w:rsidRDefault="00943EE4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20 mg/kg KG (max. 2'500mg)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:rsidR="006C604C" w:rsidRPr="0036729F" w:rsidRDefault="00943EE4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20 mg/kg KG (max</w:t>
            </w:r>
            <w:r w:rsidR="00166E0B" w:rsidRPr="0036729F">
              <w:rPr>
                <w:sz w:val="16"/>
                <w:szCs w:val="16"/>
              </w:rPr>
              <w:t xml:space="preserve">. 3000 </w:t>
            </w:r>
            <w:r w:rsidRPr="0036729F">
              <w:rPr>
                <w:sz w:val="16"/>
                <w:szCs w:val="16"/>
              </w:rPr>
              <w:t>mg)</w:t>
            </w:r>
          </w:p>
        </w:tc>
        <w:tc>
          <w:tcPr>
            <w:tcW w:w="822" w:type="pct"/>
            <w:shd w:val="clear" w:color="auto" w:fill="F2F2F2" w:themeFill="background1" w:themeFillShade="F2"/>
            <w:vAlign w:val="center"/>
          </w:tcPr>
          <w:p w:rsidR="006C604C" w:rsidRPr="0036729F" w:rsidRDefault="00943EE4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8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6C604C" w:rsidRPr="0036729F" w:rsidRDefault="00943EE4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16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:rsidR="006C604C" w:rsidRPr="0036729F" w:rsidRDefault="00943EE4" w:rsidP="0073202D">
            <w:pPr>
              <w:jc w:val="center"/>
              <w:rPr>
                <w:sz w:val="16"/>
                <w:szCs w:val="16"/>
              </w:rPr>
            </w:pPr>
            <w:r w:rsidRPr="0036729F">
              <w:rPr>
                <w:sz w:val="16"/>
                <w:szCs w:val="16"/>
              </w:rPr>
              <w:t>keine Wieder</w:t>
            </w:r>
            <w:r w:rsidR="00D23164">
              <w:rPr>
                <w:sz w:val="16"/>
                <w:szCs w:val="16"/>
              </w:rPr>
              <w:t>-</w:t>
            </w:r>
            <w:r w:rsidRPr="0036729F">
              <w:rPr>
                <w:sz w:val="16"/>
                <w:szCs w:val="16"/>
              </w:rPr>
              <w:t>holung</w:t>
            </w:r>
          </w:p>
        </w:tc>
      </w:tr>
      <w:tr w:rsidR="00A528EC" w:rsidTr="00005EDE">
        <w:trPr>
          <w:trHeight w:val="505"/>
        </w:trPr>
        <w:tc>
          <w:tcPr>
            <w:tcW w:w="723" w:type="pct"/>
            <w:shd w:val="clear" w:color="auto" w:fill="F2F2F2" w:themeFill="background1" w:themeFillShade="F2"/>
            <w:vAlign w:val="center"/>
          </w:tcPr>
          <w:p w:rsidR="00A528EC" w:rsidRPr="00AC27CA" w:rsidRDefault="00A528EC" w:rsidP="00732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Amoxicillin/</w:t>
            </w:r>
            <w:r w:rsidR="00005E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Clavulansäure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:rsidR="00A528EC" w:rsidRPr="0036729F" w:rsidRDefault="00717287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g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A528EC" w:rsidRPr="0036729F" w:rsidRDefault="00717287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g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:rsidR="00A528EC" w:rsidRPr="0036729F" w:rsidRDefault="00717287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g</w:t>
            </w:r>
          </w:p>
        </w:tc>
        <w:tc>
          <w:tcPr>
            <w:tcW w:w="822" w:type="pct"/>
            <w:shd w:val="clear" w:color="auto" w:fill="F2F2F2" w:themeFill="background1" w:themeFillShade="F2"/>
            <w:vAlign w:val="center"/>
          </w:tcPr>
          <w:p w:rsidR="00A528EC" w:rsidRPr="0036729F" w:rsidRDefault="00005EDE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528EC">
              <w:rPr>
                <w:sz w:val="16"/>
                <w:szCs w:val="16"/>
              </w:rPr>
              <w:t xml:space="preserve"> (2.2 g)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A528EC" w:rsidRPr="0036729F" w:rsidRDefault="00A528EC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(1.2 g)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:rsidR="00A528EC" w:rsidRPr="0036729F" w:rsidRDefault="00A528EC" w:rsidP="00732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(1.2 g)</w:t>
            </w:r>
          </w:p>
        </w:tc>
      </w:tr>
    </w:tbl>
    <w:p w:rsidR="006F5EBC" w:rsidRDefault="006F5EBC" w:rsidP="006F5EBC"/>
    <w:p w:rsidR="008310B8" w:rsidRDefault="008310B8" w:rsidP="006F5EBC"/>
    <w:p w:rsidR="008310B8" w:rsidRDefault="008310B8" w:rsidP="006F5EBC"/>
    <w:p w:rsidR="00E24586" w:rsidRDefault="008310B8" w:rsidP="006F5EBC">
      <w:pPr>
        <w:rPr>
          <w:b/>
        </w:rPr>
      </w:pPr>
      <w:r w:rsidRPr="008310B8">
        <w:rPr>
          <w:b/>
        </w:rPr>
        <w:t>6. Sonderfälle</w:t>
      </w:r>
    </w:p>
    <w:p w:rsidR="008310B8" w:rsidRPr="00E24586" w:rsidRDefault="00CC0C57" w:rsidP="006F5EBC">
      <w:pPr>
        <w:rPr>
          <w:b/>
        </w:rPr>
      </w:pPr>
      <w:r>
        <w:rPr>
          <w:u w:val="single"/>
        </w:rPr>
        <w:t>Patienten unter vorbestehender</w:t>
      </w:r>
      <w:r w:rsidR="008310B8">
        <w:rPr>
          <w:u w:val="single"/>
        </w:rPr>
        <w:t xml:space="preserve"> </w:t>
      </w:r>
      <w:r>
        <w:rPr>
          <w:u w:val="single"/>
        </w:rPr>
        <w:t>Antibiotikat</w:t>
      </w:r>
      <w:r w:rsidR="008310B8">
        <w:rPr>
          <w:u w:val="single"/>
        </w:rPr>
        <w:t xml:space="preserve">herapie: </w:t>
      </w:r>
    </w:p>
    <w:p w:rsidR="008310B8" w:rsidRPr="00E24586" w:rsidRDefault="00CC0C57" w:rsidP="00E24586">
      <w:pPr>
        <w:rPr>
          <w:u w:val="single"/>
        </w:rPr>
      </w:pPr>
      <w:r>
        <w:t>U</w:t>
      </w:r>
      <w:r w:rsidR="008310B8">
        <w:t>nabhängig von der Zeit der letzten Dosis wird innerhalb</w:t>
      </w:r>
      <w:r>
        <w:t xml:space="preserve"> von 60 M</w:t>
      </w:r>
      <w:r w:rsidR="008310B8">
        <w:t>in</w:t>
      </w:r>
      <w:r>
        <w:t>uten präoperativ</w:t>
      </w:r>
      <w:r w:rsidR="008310B8">
        <w:t xml:space="preserve"> eine zusätzliche Dosis verabreicht. </w:t>
      </w:r>
      <w:r w:rsidRPr="00CC0C57">
        <w:t>cave:</w:t>
      </w:r>
      <w:r w:rsidR="004B2A93">
        <w:t xml:space="preserve"> Gentami</w:t>
      </w:r>
      <w:r w:rsidR="007B3754">
        <w:t>cin</w:t>
      </w:r>
      <w:r w:rsidR="008310B8">
        <w:t>, Vancomycin bei Niereninsuffizienz: Rüc</w:t>
      </w:r>
      <w:r w:rsidR="008310B8">
        <w:t>k</w:t>
      </w:r>
      <w:r w:rsidR="008310B8">
        <w:t>sprache Dienstarzt Infektiologie (971701)</w:t>
      </w:r>
    </w:p>
    <w:p w:rsidR="008310B8" w:rsidRPr="008310B8" w:rsidRDefault="008310B8" w:rsidP="008310B8">
      <w:pPr>
        <w:pStyle w:val="Listenabsatz"/>
        <w:numPr>
          <w:ilvl w:val="0"/>
          <w:numId w:val="0"/>
        </w:numPr>
        <w:ind w:left="644"/>
        <w:rPr>
          <w:u w:val="single"/>
        </w:rPr>
      </w:pPr>
    </w:p>
    <w:p w:rsidR="00CC0C57" w:rsidRDefault="00E24586" w:rsidP="00E24586">
      <w:r w:rsidRPr="00E24586">
        <w:rPr>
          <w:u w:val="single"/>
        </w:rPr>
        <w:t>Verzögerung der Operation</w:t>
      </w:r>
      <w:r>
        <w:t xml:space="preserve">: </w:t>
      </w:r>
    </w:p>
    <w:p w:rsidR="008310B8" w:rsidRPr="00E24586" w:rsidRDefault="008310B8" w:rsidP="00E24586">
      <w:pPr>
        <w:rPr>
          <w:u w:val="single"/>
        </w:rPr>
      </w:pPr>
      <w:r>
        <w:t>Perioperative Dosis wurde bei Narkoseeinleitung verabreicht, die Operation verzögert sich aber auf &gt;</w:t>
      </w:r>
      <w:r w:rsidR="00CC0C57">
        <w:t xml:space="preserve"> </w:t>
      </w:r>
      <w:r>
        <w:t>60</w:t>
      </w:r>
      <w:r w:rsidR="00CC0C57">
        <w:t xml:space="preserve"> Minuten</w:t>
      </w:r>
      <w:r w:rsidR="00CB3F75">
        <w:t xml:space="preserve">: </w:t>
      </w:r>
      <w:r w:rsidR="00CC0C57">
        <w:t>Zusätzliche Dosis 0 - 60 Minuten</w:t>
      </w:r>
      <w:r w:rsidR="00CB3F75">
        <w:t xml:space="preserve"> vor</w:t>
      </w:r>
      <w:r>
        <w:t xml:space="preserve"> OP-Beginn.</w:t>
      </w:r>
    </w:p>
    <w:p w:rsidR="00BD53E9" w:rsidRPr="00526CDC" w:rsidRDefault="00BD53E9" w:rsidP="00526CDC">
      <w:pPr>
        <w:ind w:left="501" w:hanging="360"/>
        <w:rPr>
          <w:u w:val="single"/>
        </w:rPr>
      </w:pPr>
    </w:p>
    <w:p w:rsidR="00BD53E9" w:rsidRDefault="00BD53E9" w:rsidP="00526CDC">
      <w:pPr>
        <w:rPr>
          <w:u w:val="single"/>
        </w:rPr>
      </w:pPr>
      <w:r w:rsidRPr="00526CDC">
        <w:rPr>
          <w:u w:val="single"/>
        </w:rPr>
        <w:t>Eingriffe mit Blutsperre</w:t>
      </w:r>
      <w:r w:rsidR="00CC0C57">
        <w:rPr>
          <w:u w:val="single"/>
        </w:rPr>
        <w:t>:</w:t>
      </w:r>
    </w:p>
    <w:p w:rsidR="00526CDC" w:rsidRDefault="00526CDC" w:rsidP="00526CDC">
      <w:r>
        <w:t>Das Anlegen einer Blutsperre nach Verabreichung des Antibiotikums scheint keinen negat</w:t>
      </w:r>
      <w:r>
        <w:t>i</w:t>
      </w:r>
      <w:r>
        <w:t>ven Effekt zu haben. Die minimale Hemmkonzentration für die wichtigsten Keime bleibt im Gewebe erhalten. Es ist nicht absolut zwingend</w:t>
      </w:r>
      <w:r w:rsidR="00CC0C57">
        <w:t>, dass die ganze Antibiotikainfusion</w:t>
      </w:r>
      <w:r>
        <w:t xml:space="preserve"> vor Anl</w:t>
      </w:r>
      <w:r>
        <w:t>a</w:t>
      </w:r>
      <w:r>
        <w:t>ge des Tourniquet verabreicht wurde.</w:t>
      </w:r>
    </w:p>
    <w:p w:rsidR="00397C40" w:rsidRDefault="00397C40" w:rsidP="00526CDC"/>
    <w:p w:rsidR="00397C40" w:rsidRPr="00397C40" w:rsidRDefault="00397C40" w:rsidP="00526CDC">
      <w:pPr>
        <w:rPr>
          <w:u w:val="single"/>
        </w:rPr>
      </w:pPr>
      <w:r w:rsidRPr="00397C40">
        <w:rPr>
          <w:u w:val="single"/>
        </w:rPr>
        <w:t>Endourologische Eingriffe</w:t>
      </w:r>
    </w:p>
    <w:p w:rsidR="00397C40" w:rsidRPr="00526CDC" w:rsidRDefault="00397C40" w:rsidP="00526CDC">
      <w:r>
        <w:t>Vor endourologischen Eingriffen soll bei einer Bakteriurie eine gezielte Therapie durchgeführt werden.</w:t>
      </w:r>
    </w:p>
    <w:p w:rsidR="008310B8" w:rsidRDefault="008310B8" w:rsidP="008310B8">
      <w:pPr>
        <w:rPr>
          <w:u w:val="single"/>
        </w:rPr>
      </w:pPr>
    </w:p>
    <w:p w:rsidR="008310B8" w:rsidRDefault="008310B8" w:rsidP="008310B8">
      <w:pPr>
        <w:rPr>
          <w:b/>
        </w:rPr>
      </w:pPr>
      <w:r>
        <w:rPr>
          <w:b/>
        </w:rPr>
        <w:t>7. Patienten mit Vorgeschichte einer Penicillin-Allergie</w:t>
      </w:r>
    </w:p>
    <w:p w:rsidR="008310B8" w:rsidRDefault="008F549B" w:rsidP="008310B8">
      <w:r>
        <w:rPr>
          <w:u w:val="single"/>
        </w:rPr>
        <w:t xml:space="preserve">Makulopapulöses </w:t>
      </w:r>
      <w:r w:rsidR="008310B8">
        <w:rPr>
          <w:u w:val="single"/>
        </w:rPr>
        <w:t>Exanthem</w:t>
      </w:r>
      <w:r w:rsidR="0073202D">
        <w:rPr>
          <w:u w:val="single"/>
        </w:rPr>
        <w:t>:</w:t>
      </w:r>
      <w:r w:rsidR="0073202D">
        <w:t xml:space="preserve">  </w:t>
      </w:r>
      <w:r>
        <w:t xml:space="preserve">Cephalosporine </w:t>
      </w:r>
      <w:r w:rsidR="008310B8">
        <w:t>erlaubt.</w:t>
      </w:r>
    </w:p>
    <w:p w:rsidR="008310B8" w:rsidRDefault="008310B8" w:rsidP="008310B8"/>
    <w:p w:rsidR="00CC0C57" w:rsidRDefault="008F549B" w:rsidP="008310B8">
      <w:pPr>
        <w:rPr>
          <w:b/>
        </w:rPr>
      </w:pPr>
      <w:r>
        <w:rPr>
          <w:u w:val="single"/>
        </w:rPr>
        <w:t xml:space="preserve">Anaphylaxie, Bronchospasmus, Lyell-Syndrom oder Hypersensitivitätssyndrom </w:t>
      </w:r>
      <w:r w:rsidR="008310B8" w:rsidRPr="00434523">
        <w:rPr>
          <w:u w:val="single"/>
        </w:rPr>
        <w:t>nach</w:t>
      </w:r>
      <w:r w:rsidR="004B2A93" w:rsidRPr="00434523">
        <w:rPr>
          <w:u w:val="single"/>
        </w:rPr>
        <w:t xml:space="preserve"> Penici</w:t>
      </w:r>
      <w:r w:rsidR="004B2A93" w:rsidRPr="00434523">
        <w:rPr>
          <w:u w:val="single"/>
        </w:rPr>
        <w:t>l</w:t>
      </w:r>
      <w:r w:rsidR="004B2A93" w:rsidRPr="00434523">
        <w:rPr>
          <w:u w:val="single"/>
        </w:rPr>
        <w:t>lin</w:t>
      </w:r>
      <w:r>
        <w:rPr>
          <w:u w:val="single"/>
        </w:rPr>
        <w:t xml:space="preserve"> oder anderen Betalaktam</w:t>
      </w:r>
      <w:r w:rsidR="004B2A93" w:rsidRPr="00434523">
        <w:rPr>
          <w:u w:val="single"/>
        </w:rPr>
        <w:t>-Antibiotikum</w:t>
      </w:r>
      <w:r w:rsidR="00167FEC" w:rsidRPr="00434523">
        <w:rPr>
          <w:u w:val="single"/>
        </w:rPr>
        <w:t xml:space="preserve"> in der Vorgeschichte</w:t>
      </w:r>
      <w:r w:rsidR="004B2A93">
        <w:rPr>
          <w:b/>
        </w:rPr>
        <w:t xml:space="preserve">: </w:t>
      </w:r>
    </w:p>
    <w:p w:rsidR="008310B8" w:rsidRPr="00434523" w:rsidRDefault="004B2A93" w:rsidP="008310B8">
      <w:r w:rsidRPr="00434523">
        <w:t xml:space="preserve">Kein Einsatz von </w:t>
      </w:r>
      <w:r w:rsidR="00FF3EEF" w:rsidRPr="00434523">
        <w:t xml:space="preserve">Penicillin- und </w:t>
      </w:r>
      <w:r w:rsidR="008310B8" w:rsidRPr="00434523">
        <w:t>Cephalospori</w:t>
      </w:r>
      <w:r w:rsidRPr="00434523">
        <w:t>n-Antibiotika</w:t>
      </w:r>
      <w:r w:rsidR="00167FEC" w:rsidRPr="00434523">
        <w:t>!</w:t>
      </w:r>
    </w:p>
    <w:p w:rsidR="00DE395C" w:rsidRDefault="00DE395C" w:rsidP="007B7FA6">
      <w:pPr>
        <w:rPr>
          <w:b/>
          <w:sz w:val="28"/>
          <w:szCs w:val="28"/>
        </w:rPr>
      </w:pPr>
    </w:p>
    <w:p w:rsidR="008F5BBC" w:rsidRDefault="008F5BBC" w:rsidP="008F5BBC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8F5BBC" w:rsidRDefault="008F5BBC" w:rsidP="008F5BBC">
      <w:pPr>
        <w:rPr>
          <w:b/>
        </w:rPr>
      </w:pPr>
      <w:r w:rsidRPr="00DB6E85">
        <w:rPr>
          <w:b/>
        </w:rPr>
        <w:t xml:space="preserve">8. </w:t>
      </w:r>
      <w:r>
        <w:rPr>
          <w:b/>
        </w:rPr>
        <w:t>Bedeutung dieser Richtlinien</w:t>
      </w:r>
    </w:p>
    <w:p w:rsidR="008F5BBC" w:rsidRDefault="008F5BBC" w:rsidP="008F5BBC">
      <w:p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Die Antibiotika-Richtlinien haben den Status von Empfehlungen und sollen dem Arzt helfen, Entscheidungen zu treffen. Abweichungen davon sind möglich, müssen aber vom zuständ</w:t>
      </w:r>
      <w:r>
        <w:rPr>
          <w:rFonts w:ascii="Helv" w:hAnsi="Helv" w:cs="Helv"/>
          <w:color w:val="000000"/>
        </w:rPr>
        <w:t>i</w:t>
      </w:r>
      <w:r>
        <w:rPr>
          <w:rFonts w:ascii="Helv" w:hAnsi="Helv" w:cs="Helv"/>
          <w:color w:val="000000"/>
        </w:rPr>
        <w:t>gen Operateur verantwortet werden, wie bei einer anderen "off-label" Anwendung von Med</w:t>
      </w:r>
      <w:r>
        <w:rPr>
          <w:rFonts w:ascii="Helv" w:hAnsi="Helv" w:cs="Helv"/>
          <w:color w:val="000000"/>
        </w:rPr>
        <w:t>i</w:t>
      </w:r>
      <w:r>
        <w:rPr>
          <w:rFonts w:ascii="Helv" w:hAnsi="Helv" w:cs="Helv"/>
          <w:color w:val="000000"/>
        </w:rPr>
        <w:t>kamenten oder von Medizinprodukten. Die Richtlinien stellen im Falle von Komplikationen oder in einer Haftpflichtsituation sicher, dass die Prophylaxe gemäss den anerkannten Sta</w:t>
      </w:r>
      <w:r>
        <w:rPr>
          <w:rFonts w:ascii="Helv" w:hAnsi="Helv" w:cs="Helv"/>
          <w:color w:val="000000"/>
        </w:rPr>
        <w:t>n</w:t>
      </w:r>
      <w:r>
        <w:rPr>
          <w:rFonts w:ascii="Helv" w:hAnsi="Helv" w:cs="Helv"/>
          <w:color w:val="000000"/>
        </w:rPr>
        <w:t xml:space="preserve">dards erfolgte. Bei einer Verlängerung der Prophylaxe über die Richtlinien hinaus wird der Operateur im Falle von Komplikationen (wie z.B. eine </w:t>
      </w:r>
      <w:r w:rsidRPr="00E56E19">
        <w:rPr>
          <w:rFonts w:ascii="Helv" w:hAnsi="Helv" w:cs="Helv"/>
          <w:i/>
          <w:color w:val="000000"/>
        </w:rPr>
        <w:t>C.difficile</w:t>
      </w:r>
      <w:r>
        <w:rPr>
          <w:rFonts w:ascii="Helv" w:hAnsi="Helv" w:cs="Helv"/>
          <w:color w:val="000000"/>
        </w:rPr>
        <w:t xml:space="preserve"> Kolitis) sein Vorgehen b</w:t>
      </w:r>
      <w:r>
        <w:rPr>
          <w:rFonts w:ascii="Helv" w:hAnsi="Helv" w:cs="Helv"/>
          <w:color w:val="000000"/>
        </w:rPr>
        <w:t>e</w:t>
      </w:r>
      <w:r>
        <w:rPr>
          <w:rFonts w:ascii="Helv" w:hAnsi="Helv" w:cs="Helv"/>
          <w:color w:val="000000"/>
        </w:rPr>
        <w:t xml:space="preserve">gründen müssen. </w:t>
      </w:r>
    </w:p>
    <w:p w:rsidR="00ED574F" w:rsidRDefault="00ED574F" w:rsidP="00ED574F"/>
    <w:p w:rsidR="008F5BBC" w:rsidRDefault="008F5BBC" w:rsidP="00ED574F"/>
    <w:p w:rsidR="008F5BBC" w:rsidRDefault="008F5BBC" w:rsidP="00ED574F"/>
    <w:p w:rsidR="008F5BBC" w:rsidRDefault="008F5BBC" w:rsidP="00ED574F"/>
    <w:p w:rsidR="008F5BBC" w:rsidRDefault="008F5BBC" w:rsidP="00ED574F"/>
    <w:p w:rsidR="008F5BBC" w:rsidRDefault="008F5BBC" w:rsidP="00ED574F"/>
    <w:p w:rsidR="008F5BBC" w:rsidRDefault="008F5BBC" w:rsidP="00ED574F"/>
    <w:p w:rsidR="008F5BBC" w:rsidRDefault="008F5BBC" w:rsidP="00ED574F"/>
    <w:p w:rsidR="008F5BBC" w:rsidRDefault="008F5BBC" w:rsidP="00ED574F"/>
    <w:p w:rsidR="00ED574F" w:rsidRDefault="00ED574F" w:rsidP="00ED574F"/>
    <w:p w:rsidR="00ED574F" w:rsidRDefault="00ED574F" w:rsidP="00ED574F"/>
    <w:p w:rsidR="00ED574F" w:rsidRPr="00125169" w:rsidRDefault="00ED574F" w:rsidP="00ED574F">
      <w:pPr>
        <w:rPr>
          <w:sz w:val="20"/>
          <w:szCs w:val="20"/>
        </w:rPr>
      </w:pPr>
      <w:r w:rsidRPr="00125169">
        <w:rPr>
          <w:sz w:val="20"/>
          <w:szCs w:val="20"/>
        </w:rPr>
        <w:t>Literatur</w:t>
      </w:r>
    </w:p>
    <w:p w:rsidR="00ED574F" w:rsidRPr="00125169" w:rsidRDefault="00ED574F" w:rsidP="00ED574F">
      <w:pPr>
        <w:rPr>
          <w:sz w:val="20"/>
          <w:szCs w:val="20"/>
        </w:rPr>
      </w:pPr>
    </w:p>
    <w:p w:rsidR="00ED574F" w:rsidRPr="00125169" w:rsidRDefault="00ED574F" w:rsidP="00ED574F">
      <w:pPr>
        <w:rPr>
          <w:sz w:val="20"/>
          <w:szCs w:val="20"/>
        </w:rPr>
      </w:pPr>
      <w:r w:rsidRPr="00125169">
        <w:rPr>
          <w:sz w:val="20"/>
          <w:szCs w:val="20"/>
        </w:rPr>
        <w:t>Aktualisierte Empfehlungen zur perioperativen Antibiotkaprophylaxe in der Schweiz, 2015. Swissnoso-Bulletin 2015;20(1):1-8</w:t>
      </w:r>
    </w:p>
    <w:p w:rsidR="00ED574F" w:rsidRPr="00125169" w:rsidRDefault="00ED574F" w:rsidP="00ED574F">
      <w:pPr>
        <w:rPr>
          <w:sz w:val="20"/>
          <w:szCs w:val="20"/>
        </w:rPr>
      </w:pPr>
    </w:p>
    <w:p w:rsidR="00ED574F" w:rsidRPr="00125169" w:rsidRDefault="00ED574F" w:rsidP="00ED574F">
      <w:pPr>
        <w:rPr>
          <w:sz w:val="20"/>
          <w:szCs w:val="20"/>
        </w:rPr>
      </w:pPr>
      <w:r w:rsidRPr="00125169">
        <w:rPr>
          <w:sz w:val="20"/>
          <w:szCs w:val="20"/>
        </w:rPr>
        <w:t>Engesaeter L. et al.: Antibiotic Prophylaxis in total hip arthroplasty. Acta Orthop Scand 2003;74(6):664</w:t>
      </w:r>
    </w:p>
    <w:p w:rsidR="00ED574F" w:rsidRPr="003238B9" w:rsidRDefault="00ED574F" w:rsidP="00ED574F">
      <w:pPr>
        <w:rPr>
          <w:sz w:val="20"/>
          <w:szCs w:val="20"/>
        </w:rPr>
      </w:pPr>
    </w:p>
    <w:p w:rsidR="0045536B" w:rsidRDefault="003238B9" w:rsidP="005F6B8C">
      <w:pPr>
        <w:rPr>
          <w:sz w:val="20"/>
          <w:szCs w:val="20"/>
        </w:rPr>
      </w:pPr>
      <w:r w:rsidRPr="003238B9">
        <w:rPr>
          <w:sz w:val="20"/>
          <w:szCs w:val="20"/>
        </w:rPr>
        <w:t>Bratzler D.W. et al.: Clinical practice guidelines for antimicrobial prophylaxis in surgery Am J Health-Syst Pharm 2013;70:195</w:t>
      </w:r>
    </w:p>
    <w:p w:rsidR="0045536B" w:rsidRDefault="0045536B" w:rsidP="0045536B">
      <w:pPr>
        <w:rPr>
          <w:b/>
          <w:sz w:val="28"/>
          <w:szCs w:val="28"/>
        </w:rPr>
      </w:pPr>
      <w:r>
        <w:rPr>
          <w:sz w:val="20"/>
          <w:szCs w:val="20"/>
        </w:rPr>
        <w:br w:type="column"/>
      </w:r>
    </w:p>
    <w:p w:rsidR="0045536B" w:rsidRPr="00D36E64" w:rsidRDefault="0045536B" w:rsidP="0045536B">
      <w:pPr>
        <w:rPr>
          <w:sz w:val="32"/>
          <w:szCs w:val="32"/>
        </w:rPr>
      </w:pPr>
      <w:r w:rsidRPr="00D36E64">
        <w:rPr>
          <w:b/>
          <w:sz w:val="32"/>
          <w:szCs w:val="32"/>
        </w:rPr>
        <w:t>Teil II: Empfehlungen für die einzelnen Fachgebiete</w:t>
      </w:r>
      <w:r w:rsidRPr="00D36E64">
        <w:rPr>
          <w:sz w:val="32"/>
          <w:szCs w:val="32"/>
        </w:rPr>
        <w:t xml:space="preserve">        </w:t>
      </w:r>
    </w:p>
    <w:p w:rsidR="0045536B" w:rsidRDefault="0045536B" w:rsidP="0045536B">
      <w:pPr>
        <w:rPr>
          <w:sz w:val="28"/>
          <w:szCs w:val="28"/>
        </w:rPr>
      </w:pPr>
    </w:p>
    <w:p w:rsidR="0045536B" w:rsidRDefault="0045536B" w:rsidP="0045536B">
      <w:pPr>
        <w:rPr>
          <w:sz w:val="28"/>
          <w:szCs w:val="28"/>
        </w:rPr>
      </w:pPr>
    </w:p>
    <w:p w:rsidR="0045536B" w:rsidRPr="00D36E64" w:rsidRDefault="0045536B" w:rsidP="0045536B">
      <w:pPr>
        <w:rPr>
          <w:b/>
          <w:sz w:val="28"/>
          <w:szCs w:val="28"/>
        </w:rPr>
      </w:pPr>
      <w:r w:rsidRPr="00D36E64">
        <w:rPr>
          <w:b/>
          <w:sz w:val="28"/>
          <w:szCs w:val="28"/>
        </w:rPr>
        <w:t>Allgemein- und Viszeralchirurgie</w:t>
      </w:r>
    </w:p>
    <w:p w:rsidR="0045536B" w:rsidRPr="008131C0" w:rsidRDefault="0045536B" w:rsidP="0045536B">
      <w:pPr>
        <w:rPr>
          <w:sz w:val="28"/>
          <w:szCs w:val="28"/>
        </w:rPr>
      </w:pPr>
    </w:p>
    <w:tbl>
      <w:tblPr>
        <w:tblStyle w:val="TabellenrasterLUKS1"/>
        <w:tblW w:w="0" w:type="auto"/>
        <w:tblLook w:val="04A0" w:firstRow="1" w:lastRow="0" w:firstColumn="1" w:lastColumn="0" w:noHBand="0" w:noVBand="1"/>
      </w:tblPr>
      <w:tblGrid>
        <w:gridCol w:w="2918"/>
        <w:gridCol w:w="3183"/>
        <w:gridCol w:w="2977"/>
      </w:tblGrid>
      <w:tr w:rsidR="0045536B" w:rsidTr="00C34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37" w:type="dxa"/>
            <w:shd w:val="clear" w:color="auto" w:fill="C5DCF3" w:themeFill="accent4" w:themeFillTint="33"/>
          </w:tcPr>
          <w:p w:rsidR="0045536B" w:rsidRPr="00D36E64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Eingriff</w:t>
            </w:r>
          </w:p>
        </w:tc>
        <w:tc>
          <w:tcPr>
            <w:tcW w:w="3183" w:type="dxa"/>
            <w:shd w:val="clear" w:color="auto" w:fill="C5DCF3" w:themeFill="accent4" w:themeFillTint="33"/>
          </w:tcPr>
          <w:p w:rsidR="0045536B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Empfehlung</w:t>
            </w:r>
            <w:r>
              <w:rPr>
                <w:color w:val="auto"/>
              </w:rPr>
              <w:t xml:space="preserve"> </w:t>
            </w:r>
          </w:p>
          <w:p w:rsidR="0045536B" w:rsidRPr="008D0D2E" w:rsidRDefault="0045536B" w:rsidP="00C34A34">
            <w:pPr>
              <w:rPr>
                <w:b w:val="0"/>
                <w:color w:val="auto"/>
              </w:rPr>
            </w:pPr>
            <w:r w:rsidRPr="008D0D2E">
              <w:rPr>
                <w:b w:val="0"/>
                <w:color w:val="auto"/>
              </w:rPr>
              <w:t>(</w:t>
            </w:r>
            <w:r>
              <w:rPr>
                <w:b w:val="0"/>
                <w:color w:val="auto"/>
              </w:rPr>
              <w:t>gilt auch bei "Allergie"-Anamnese</w:t>
            </w:r>
            <w:r w:rsidRPr="008D0D2E">
              <w:rPr>
                <w:b w:val="0"/>
                <w:color w:val="auto"/>
              </w:rPr>
              <w:t xml:space="preserve"> mit makulopapul</w:t>
            </w:r>
            <w:r w:rsidRPr="008D0D2E">
              <w:rPr>
                <w:b w:val="0"/>
                <w:color w:val="auto"/>
              </w:rPr>
              <w:t>ö</w:t>
            </w:r>
            <w:r w:rsidRPr="008D0D2E">
              <w:rPr>
                <w:b w:val="0"/>
                <w:color w:val="auto"/>
              </w:rPr>
              <w:t>sem Exanthem unter Penici</w:t>
            </w:r>
            <w:r w:rsidRPr="008D0D2E">
              <w:rPr>
                <w:b w:val="0"/>
                <w:color w:val="auto"/>
              </w:rPr>
              <w:t>l</w:t>
            </w:r>
            <w:r w:rsidRPr="008D0D2E">
              <w:rPr>
                <w:b w:val="0"/>
                <w:color w:val="auto"/>
              </w:rPr>
              <w:t>lin</w:t>
            </w:r>
            <w:r>
              <w:rPr>
                <w:b w:val="0"/>
                <w:color w:val="auto"/>
              </w:rPr>
              <w:t>-</w:t>
            </w:r>
            <w:r w:rsidRPr="008D0D2E">
              <w:rPr>
                <w:b w:val="0"/>
                <w:color w:val="auto"/>
              </w:rPr>
              <w:t xml:space="preserve"> und anderen Betalaktam-Antibiotika)</w:t>
            </w:r>
          </w:p>
        </w:tc>
        <w:tc>
          <w:tcPr>
            <w:tcW w:w="2977" w:type="dxa"/>
            <w:shd w:val="clear" w:color="auto" w:fill="C5DCF3" w:themeFill="accent4" w:themeFillTint="33"/>
          </w:tcPr>
          <w:p w:rsidR="0045536B" w:rsidRPr="00997D59" w:rsidRDefault="0045536B" w:rsidP="00C34A34">
            <w:pPr>
              <w:rPr>
                <w:color w:val="auto"/>
              </w:rPr>
            </w:pPr>
            <w:r w:rsidRPr="00997D59">
              <w:rPr>
                <w:color w:val="auto"/>
              </w:rPr>
              <w:t xml:space="preserve">Alternative </w:t>
            </w:r>
          </w:p>
          <w:p w:rsidR="0045536B" w:rsidRPr="00997D59" w:rsidRDefault="0045536B" w:rsidP="00C34A34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997D59">
              <w:rPr>
                <w:b w:val="0"/>
                <w:color w:val="auto"/>
              </w:rPr>
              <w:t>bei Anaphylaxie, Bro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chospasmus, Lyell-Syndrom oder Hypersens</w:t>
            </w:r>
            <w:r w:rsidRPr="00997D59">
              <w:rPr>
                <w:b w:val="0"/>
                <w:color w:val="auto"/>
              </w:rPr>
              <w:t>i</w:t>
            </w:r>
            <w:r w:rsidRPr="00997D59">
              <w:rPr>
                <w:b w:val="0"/>
                <w:color w:val="auto"/>
              </w:rPr>
              <w:t>tivitätssyndrom nach Pen</w:t>
            </w:r>
            <w:r w:rsidRPr="00997D59">
              <w:rPr>
                <w:b w:val="0"/>
                <w:color w:val="auto"/>
              </w:rPr>
              <w:t>i</w:t>
            </w:r>
            <w:r w:rsidRPr="00997D59">
              <w:rPr>
                <w:b w:val="0"/>
                <w:color w:val="auto"/>
              </w:rPr>
              <w:t>cillin</w:t>
            </w:r>
            <w:r>
              <w:rPr>
                <w:b w:val="0"/>
                <w:color w:val="auto"/>
              </w:rPr>
              <w:t>-</w:t>
            </w:r>
            <w:r w:rsidRPr="00997D59">
              <w:rPr>
                <w:b w:val="0"/>
                <w:color w:val="auto"/>
              </w:rPr>
              <w:t xml:space="preserve"> oder anderen B</w:t>
            </w:r>
            <w:r w:rsidRPr="00997D59">
              <w:rPr>
                <w:b w:val="0"/>
                <w:color w:val="auto"/>
              </w:rPr>
              <w:t>e</w:t>
            </w:r>
            <w:r>
              <w:rPr>
                <w:b w:val="0"/>
                <w:color w:val="auto"/>
              </w:rPr>
              <w:t>talaktam-Antibiotikum in der Vorgeschichte)</w:t>
            </w:r>
          </w:p>
        </w:tc>
      </w:tr>
      <w:tr w:rsidR="0045536B" w:rsidTr="00C34A34">
        <w:tc>
          <w:tcPr>
            <w:tcW w:w="2737" w:type="dxa"/>
          </w:tcPr>
          <w:p w:rsidR="0045536B" w:rsidRDefault="0045536B" w:rsidP="00C34A34">
            <w:pPr>
              <w:rPr>
                <w:b/>
              </w:rPr>
            </w:pPr>
            <w:r w:rsidRPr="00556838">
              <w:rPr>
                <w:b/>
              </w:rPr>
              <w:t>Kolon, Rektum</w:t>
            </w:r>
            <w:r>
              <w:rPr>
                <w:b/>
              </w:rPr>
              <w:t xml:space="preserve">, </w:t>
            </w:r>
          </w:p>
          <w:p w:rsidR="0045536B" w:rsidRDefault="0045536B" w:rsidP="00C34A34">
            <w:pPr>
              <w:rPr>
                <w:b/>
              </w:rPr>
            </w:pPr>
            <w:r>
              <w:rPr>
                <w:b/>
              </w:rPr>
              <w:t xml:space="preserve">Appendektomie, </w:t>
            </w:r>
          </w:p>
          <w:p w:rsidR="0045536B" w:rsidRPr="00556838" w:rsidRDefault="0045536B" w:rsidP="00C34A34">
            <w:pPr>
              <w:rPr>
                <w:b/>
              </w:rPr>
            </w:pPr>
            <w:r>
              <w:rPr>
                <w:b/>
              </w:rPr>
              <w:t>Hämorrhoiden-OP</w:t>
            </w:r>
          </w:p>
        </w:tc>
        <w:tc>
          <w:tcPr>
            <w:tcW w:w="3183" w:type="dxa"/>
          </w:tcPr>
          <w:p w:rsidR="0045536B" w:rsidRPr="001233D2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>Cefazolin i.v.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/>
          <w:p w:rsidR="0045536B" w:rsidRDefault="0045536B" w:rsidP="00C34A34">
            <w:r>
              <w:t>plus</w:t>
            </w:r>
          </w:p>
          <w:p w:rsidR="0045536B" w:rsidRDefault="0045536B" w:rsidP="00C34A34">
            <w:r w:rsidRPr="001233D2">
              <w:rPr>
                <w:b/>
              </w:rPr>
              <w:t>Metronidazol i.v</w:t>
            </w:r>
            <w:r>
              <w:t>.</w:t>
            </w:r>
          </w:p>
          <w:p w:rsidR="0045536B" w:rsidRDefault="0045536B" w:rsidP="00C34A34">
            <w:r>
              <w:t>&lt;80 kg: 500 mg</w:t>
            </w:r>
          </w:p>
          <w:p w:rsidR="0045536B" w:rsidRDefault="0045536B" w:rsidP="00C34A34">
            <w:r>
              <w:t>&gt;80 kg: 1000 mg</w:t>
            </w:r>
          </w:p>
        </w:tc>
        <w:tc>
          <w:tcPr>
            <w:tcW w:w="2977" w:type="dxa"/>
          </w:tcPr>
          <w:p w:rsidR="0045536B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 xml:space="preserve">Vancomycin </w:t>
            </w:r>
          </w:p>
          <w:p w:rsidR="0045536B" w:rsidRDefault="0045536B" w:rsidP="00C34A34">
            <w:r w:rsidRPr="001233D2">
              <w:t>20</w:t>
            </w:r>
            <w:r w:rsidRPr="00B31CDD">
              <w:t xml:space="preserve"> mg/kg KG </w:t>
            </w:r>
          </w:p>
          <w:p w:rsidR="0045536B" w:rsidRDefault="0045536B" w:rsidP="00C34A34">
            <w:r w:rsidRPr="00B31CDD">
              <w:t>(max. 3000 mg)</w:t>
            </w:r>
          </w:p>
          <w:p w:rsidR="0045536B" w:rsidRPr="00B31CDD" w:rsidRDefault="0045536B" w:rsidP="00C34A34"/>
          <w:p w:rsidR="0045536B" w:rsidRPr="00B31CDD" w:rsidRDefault="0045536B" w:rsidP="00C34A34">
            <w:r>
              <w:t>p</w:t>
            </w:r>
            <w:r w:rsidRPr="00B31CDD">
              <w:t>lus</w:t>
            </w:r>
          </w:p>
          <w:p w:rsidR="0045536B" w:rsidRDefault="0045536B" w:rsidP="00C34A34">
            <w:r w:rsidRPr="001233D2">
              <w:rPr>
                <w:b/>
              </w:rPr>
              <w:t xml:space="preserve">Gentamicin </w:t>
            </w:r>
          </w:p>
          <w:p w:rsidR="0045536B" w:rsidRPr="00B31CDD" w:rsidRDefault="0045536B" w:rsidP="00C34A34">
            <w:r w:rsidRPr="00B31CDD">
              <w:t>5 mg/kg KG iv.</w:t>
            </w:r>
          </w:p>
          <w:p w:rsidR="0045536B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1233D2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>Clindamycin i.v.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  <w:p w:rsidR="0045536B" w:rsidRDefault="0045536B" w:rsidP="00C34A34">
            <w:r>
              <w:t>plus</w:t>
            </w:r>
          </w:p>
          <w:p w:rsidR="0045536B" w:rsidRDefault="0045536B" w:rsidP="00C34A34">
            <w:r w:rsidRPr="001233D2">
              <w:rPr>
                <w:b/>
              </w:rPr>
              <w:t>Gentamicin</w:t>
            </w:r>
            <w:r>
              <w:t xml:space="preserve"> </w:t>
            </w:r>
          </w:p>
          <w:p w:rsidR="0045536B" w:rsidRPr="00B31CDD" w:rsidRDefault="0045536B" w:rsidP="00C34A34">
            <w:r w:rsidRPr="00B31CDD">
              <w:t xml:space="preserve">5 mg/kg KG </w:t>
            </w:r>
            <w:r>
              <w:t xml:space="preserve"> </w:t>
            </w:r>
            <w:r w:rsidRPr="00B31CDD">
              <w:t>i</w:t>
            </w:r>
            <w:r>
              <w:t>.</w:t>
            </w:r>
            <w:r w:rsidRPr="00B31CDD">
              <w:t>v.</w:t>
            </w:r>
          </w:p>
          <w:p w:rsidR="0045536B" w:rsidRPr="00B31CDD" w:rsidRDefault="0045536B" w:rsidP="00C34A34"/>
          <w:p w:rsidR="0045536B" w:rsidRPr="00B31CDD" w:rsidRDefault="0045536B" w:rsidP="00C34A34"/>
          <w:p w:rsidR="0045536B" w:rsidRPr="00B31CDD" w:rsidRDefault="0045536B" w:rsidP="00C34A34"/>
        </w:tc>
      </w:tr>
      <w:tr w:rsidR="0045536B" w:rsidTr="00C34A34">
        <w:tc>
          <w:tcPr>
            <w:tcW w:w="2737" w:type="dxa"/>
          </w:tcPr>
          <w:p w:rsidR="0045536B" w:rsidRDefault="0045536B" w:rsidP="00C34A34">
            <w:r>
              <w:rPr>
                <w:b/>
              </w:rPr>
              <w:t xml:space="preserve">Oesophagus, Magen, Dünndarm mit </w:t>
            </w:r>
            <w:r w:rsidRPr="00556838">
              <w:rPr>
                <w:b/>
              </w:rPr>
              <w:t xml:space="preserve"> Risikofa</w:t>
            </w:r>
            <w:r w:rsidRPr="00556838">
              <w:rPr>
                <w:b/>
              </w:rPr>
              <w:t>k</w:t>
            </w:r>
            <w:r w:rsidRPr="00556838">
              <w:rPr>
                <w:b/>
              </w:rPr>
              <w:t>toren</w:t>
            </w:r>
            <w:r>
              <w:t xml:space="preserve"> </w:t>
            </w:r>
            <w:r>
              <w:br/>
              <w:t>(Oesophagusresektion, Magenresektion, totale Gastrektomie, bariatrische Chirurgie)</w:t>
            </w:r>
          </w:p>
        </w:tc>
        <w:tc>
          <w:tcPr>
            <w:tcW w:w="3183" w:type="dxa"/>
          </w:tcPr>
          <w:p w:rsidR="0045536B" w:rsidRPr="001233D2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>Cefazolin i.v.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/>
          <w:p w:rsidR="0045536B" w:rsidRDefault="0045536B" w:rsidP="00C34A34"/>
        </w:tc>
        <w:tc>
          <w:tcPr>
            <w:tcW w:w="2977" w:type="dxa"/>
          </w:tcPr>
          <w:p w:rsidR="0045536B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 xml:space="preserve">Vancomycin </w:t>
            </w:r>
          </w:p>
          <w:p w:rsidR="0045536B" w:rsidRDefault="0045536B" w:rsidP="00C34A34">
            <w:r w:rsidRPr="001233D2">
              <w:t>20</w:t>
            </w:r>
            <w:r w:rsidRPr="00B31CDD">
              <w:t xml:space="preserve"> mg/kg KG </w:t>
            </w:r>
          </w:p>
          <w:p w:rsidR="0045536B" w:rsidRDefault="0045536B" w:rsidP="00C34A34">
            <w:r w:rsidRPr="00B31CDD">
              <w:t>(max. 3000 mg)</w:t>
            </w:r>
          </w:p>
          <w:p w:rsidR="0045536B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1233D2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>Clindamycin i.v.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</w:tc>
      </w:tr>
      <w:tr w:rsidR="0045536B" w:rsidTr="00C34A34">
        <w:tc>
          <w:tcPr>
            <w:tcW w:w="2737" w:type="dxa"/>
            <w:tcBorders>
              <w:bottom w:val="single" w:sz="4" w:space="0" w:color="auto"/>
            </w:tcBorders>
          </w:tcPr>
          <w:p w:rsidR="0045536B" w:rsidRDefault="0045536B" w:rsidP="00C34A34">
            <w:r w:rsidRPr="004374C7">
              <w:rPr>
                <w:b/>
              </w:rPr>
              <w:t>Cholezystektomie mit Risikofaktoren</w:t>
            </w:r>
            <w:r>
              <w:t xml:space="preserve"> (offene OP, notfallmässige OP, Konversionseingriff, Diab</w:t>
            </w:r>
            <w:r>
              <w:t>e</w:t>
            </w:r>
            <w:r>
              <w:t>tes, ASA-III und –IV, Ikt</w:t>
            </w:r>
            <w:r>
              <w:t>e</w:t>
            </w:r>
            <w:r>
              <w:t>rus, Immunsuppression, Schwangerschaft</w:t>
            </w:r>
          </w:p>
        </w:tc>
        <w:tc>
          <w:tcPr>
            <w:tcW w:w="3183" w:type="dxa"/>
          </w:tcPr>
          <w:p w:rsidR="0045536B" w:rsidRPr="001233D2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>Cefazolin i.v.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/>
          <w:p w:rsidR="0045536B" w:rsidRDefault="0045536B" w:rsidP="00C34A34"/>
        </w:tc>
        <w:tc>
          <w:tcPr>
            <w:tcW w:w="2977" w:type="dxa"/>
          </w:tcPr>
          <w:p w:rsidR="0045536B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 xml:space="preserve">Vancomycin </w:t>
            </w:r>
          </w:p>
          <w:p w:rsidR="0045536B" w:rsidRDefault="0045536B" w:rsidP="00C34A34">
            <w:r w:rsidRPr="001233D2">
              <w:t>20</w:t>
            </w:r>
            <w:r w:rsidRPr="00B31CDD">
              <w:t xml:space="preserve"> mg/kg KG </w:t>
            </w:r>
          </w:p>
          <w:p w:rsidR="0045536B" w:rsidRDefault="0045536B" w:rsidP="00C34A34">
            <w:r w:rsidRPr="00B31CDD">
              <w:t>(max. 3000 mg)</w:t>
            </w:r>
          </w:p>
          <w:p w:rsidR="0045536B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1233D2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>Clindamycin i.v.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</w:tc>
      </w:tr>
      <w:tr w:rsidR="0045536B" w:rsidTr="00C34A34">
        <w:tc>
          <w:tcPr>
            <w:tcW w:w="2737" w:type="dxa"/>
            <w:tcBorders>
              <w:bottom w:val="single" w:sz="4" w:space="0" w:color="auto"/>
            </w:tcBorders>
          </w:tcPr>
          <w:p w:rsidR="0045536B" w:rsidRPr="004374C7" w:rsidRDefault="0045536B" w:rsidP="00C34A34">
            <w:pPr>
              <w:rPr>
                <w:b/>
              </w:rPr>
            </w:pPr>
            <w:r w:rsidRPr="004374C7">
              <w:rPr>
                <w:b/>
              </w:rPr>
              <w:t>Einfache Cholezystekt</w:t>
            </w:r>
            <w:r w:rsidRPr="004374C7">
              <w:rPr>
                <w:b/>
              </w:rPr>
              <w:t>o</w:t>
            </w:r>
            <w:r w:rsidRPr="004374C7">
              <w:rPr>
                <w:b/>
              </w:rPr>
              <w:t>mie ohne Risikofaktoren</w:t>
            </w:r>
          </w:p>
          <w:p w:rsidR="0045536B" w:rsidRPr="00C35F36" w:rsidRDefault="0045536B" w:rsidP="00C34A34">
            <w:pPr>
              <w:rPr>
                <w:b/>
              </w:rPr>
            </w:pPr>
          </w:p>
        </w:tc>
        <w:tc>
          <w:tcPr>
            <w:tcW w:w="3183" w:type="dxa"/>
          </w:tcPr>
          <w:p w:rsidR="0045536B" w:rsidRPr="001233D2" w:rsidRDefault="0045536B" w:rsidP="00C34A34">
            <w:pPr>
              <w:rPr>
                <w:b/>
              </w:rPr>
            </w:pPr>
            <w:r>
              <w:t>Keine Prophylaxe</w:t>
            </w:r>
          </w:p>
        </w:tc>
        <w:tc>
          <w:tcPr>
            <w:tcW w:w="2977" w:type="dxa"/>
          </w:tcPr>
          <w:p w:rsidR="0045536B" w:rsidRPr="001233D2" w:rsidRDefault="0045536B" w:rsidP="00C34A34">
            <w:pPr>
              <w:rPr>
                <w:b/>
              </w:rPr>
            </w:pPr>
          </w:p>
        </w:tc>
      </w:tr>
      <w:tr w:rsidR="0045536B" w:rsidTr="00C34A34">
        <w:tc>
          <w:tcPr>
            <w:tcW w:w="2737" w:type="dxa"/>
          </w:tcPr>
          <w:p w:rsidR="0045536B" w:rsidRDefault="0045536B" w:rsidP="00C34A34">
            <w:r w:rsidRPr="004374C7">
              <w:rPr>
                <w:b/>
              </w:rPr>
              <w:t>Bauchwandhernienrepair nach RIVES</w:t>
            </w:r>
            <w:r>
              <w:t xml:space="preserve"> (Sublay-Netzhernioplastik)</w:t>
            </w:r>
          </w:p>
        </w:tc>
        <w:tc>
          <w:tcPr>
            <w:tcW w:w="3183" w:type="dxa"/>
          </w:tcPr>
          <w:p w:rsidR="0045536B" w:rsidRPr="001233D2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>Cefazolin i.v.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/>
          <w:p w:rsidR="0045536B" w:rsidRDefault="0045536B" w:rsidP="00C34A34"/>
        </w:tc>
        <w:tc>
          <w:tcPr>
            <w:tcW w:w="2977" w:type="dxa"/>
          </w:tcPr>
          <w:p w:rsidR="0045536B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 xml:space="preserve">Vancomycin </w:t>
            </w:r>
          </w:p>
          <w:p w:rsidR="0045536B" w:rsidRDefault="0045536B" w:rsidP="00C34A34">
            <w:r w:rsidRPr="001233D2">
              <w:t>20</w:t>
            </w:r>
            <w:r w:rsidRPr="00B31CDD">
              <w:t xml:space="preserve"> mg/kg KG </w:t>
            </w:r>
          </w:p>
          <w:p w:rsidR="0045536B" w:rsidRDefault="0045536B" w:rsidP="00C34A34">
            <w:r w:rsidRPr="00B31CDD">
              <w:t>(max. 3000 mg)</w:t>
            </w:r>
          </w:p>
          <w:p w:rsidR="0045536B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1233D2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>Clindamycin i.v.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</w:tc>
      </w:tr>
      <w:tr w:rsidR="0045536B" w:rsidTr="00C34A34">
        <w:tc>
          <w:tcPr>
            <w:tcW w:w="2737" w:type="dxa"/>
          </w:tcPr>
          <w:p w:rsidR="0045536B" w:rsidRPr="004374C7" w:rsidRDefault="0045536B" w:rsidP="00C34A34">
            <w:pPr>
              <w:rPr>
                <w:b/>
              </w:rPr>
            </w:pPr>
            <w:r w:rsidRPr="004374C7">
              <w:rPr>
                <w:b/>
              </w:rPr>
              <w:t>Leistenhernienrepair nach Lichtenstein, TEP und TAPP</w:t>
            </w:r>
          </w:p>
          <w:p w:rsidR="0045536B" w:rsidRDefault="0045536B" w:rsidP="00C34A34">
            <w:r w:rsidRPr="004374C7">
              <w:rPr>
                <w:b/>
              </w:rPr>
              <w:t>Umbilicalhernie mit D</w:t>
            </w:r>
            <w:r w:rsidRPr="004374C7">
              <w:rPr>
                <w:b/>
              </w:rPr>
              <w:t>i</w:t>
            </w:r>
            <w:r w:rsidRPr="004374C7">
              <w:rPr>
                <w:b/>
              </w:rPr>
              <w:t>rektverschluss</w:t>
            </w:r>
          </w:p>
        </w:tc>
        <w:tc>
          <w:tcPr>
            <w:tcW w:w="3183" w:type="dxa"/>
          </w:tcPr>
          <w:p w:rsidR="0045536B" w:rsidRPr="001233D2" w:rsidRDefault="0045536B" w:rsidP="00C34A34">
            <w:pPr>
              <w:rPr>
                <w:b/>
              </w:rPr>
            </w:pPr>
            <w:r>
              <w:t>Keine Prophylaxe</w:t>
            </w:r>
          </w:p>
        </w:tc>
        <w:tc>
          <w:tcPr>
            <w:tcW w:w="2977" w:type="dxa"/>
          </w:tcPr>
          <w:p w:rsidR="0045536B" w:rsidRPr="001233D2" w:rsidRDefault="0045536B" w:rsidP="00C34A34">
            <w:pPr>
              <w:rPr>
                <w:b/>
              </w:rPr>
            </w:pPr>
          </w:p>
        </w:tc>
      </w:tr>
      <w:tr w:rsidR="0045536B" w:rsidTr="00C34A34">
        <w:tc>
          <w:tcPr>
            <w:tcW w:w="2737" w:type="dxa"/>
          </w:tcPr>
          <w:p w:rsidR="0045536B" w:rsidRDefault="0045536B" w:rsidP="00C34A34"/>
        </w:tc>
        <w:tc>
          <w:tcPr>
            <w:tcW w:w="3183" w:type="dxa"/>
          </w:tcPr>
          <w:p w:rsidR="0045536B" w:rsidRPr="001233D2" w:rsidRDefault="0045536B" w:rsidP="00C34A34">
            <w:pPr>
              <w:rPr>
                <w:b/>
              </w:rPr>
            </w:pPr>
          </w:p>
        </w:tc>
        <w:tc>
          <w:tcPr>
            <w:tcW w:w="2977" w:type="dxa"/>
          </w:tcPr>
          <w:p w:rsidR="0045536B" w:rsidRPr="001233D2" w:rsidRDefault="0045536B" w:rsidP="00C34A34">
            <w:pPr>
              <w:rPr>
                <w:b/>
              </w:rPr>
            </w:pPr>
          </w:p>
        </w:tc>
      </w:tr>
      <w:tr w:rsidR="0045536B" w:rsidTr="00C34A34">
        <w:tc>
          <w:tcPr>
            <w:tcW w:w="2737" w:type="dxa"/>
          </w:tcPr>
          <w:p w:rsidR="0045536B" w:rsidRDefault="0045536B" w:rsidP="00C34A34">
            <w:r w:rsidRPr="004374C7">
              <w:rPr>
                <w:b/>
              </w:rPr>
              <w:t>Implantation Port-System</w:t>
            </w:r>
            <w:r>
              <w:t xml:space="preserve"> (Port-A-Cath)</w:t>
            </w:r>
          </w:p>
        </w:tc>
        <w:tc>
          <w:tcPr>
            <w:tcW w:w="3183" w:type="dxa"/>
          </w:tcPr>
          <w:p w:rsidR="0045536B" w:rsidRPr="001233D2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>Cefazolin i.v.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/>
          <w:p w:rsidR="0045536B" w:rsidRDefault="0045536B" w:rsidP="00C34A34"/>
        </w:tc>
        <w:tc>
          <w:tcPr>
            <w:tcW w:w="2977" w:type="dxa"/>
          </w:tcPr>
          <w:p w:rsidR="0045536B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 xml:space="preserve">Vancomycin </w:t>
            </w:r>
          </w:p>
          <w:p w:rsidR="0045536B" w:rsidRDefault="0045536B" w:rsidP="00C34A34">
            <w:r w:rsidRPr="001233D2">
              <w:t>20</w:t>
            </w:r>
            <w:r w:rsidRPr="00B31CDD">
              <w:t xml:space="preserve"> mg/kg KG </w:t>
            </w:r>
          </w:p>
          <w:p w:rsidR="0045536B" w:rsidRDefault="0045536B" w:rsidP="00C34A34">
            <w:r w:rsidRPr="00B31CDD">
              <w:t>(max. 3000 mg)</w:t>
            </w:r>
          </w:p>
          <w:p w:rsidR="0045536B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1233D2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>Clindamycin i.v.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</w:tc>
      </w:tr>
      <w:tr w:rsidR="0045536B" w:rsidTr="00C34A34">
        <w:tc>
          <w:tcPr>
            <w:tcW w:w="2737" w:type="dxa"/>
            <w:tcBorders>
              <w:bottom w:val="single" w:sz="4" w:space="0" w:color="auto"/>
            </w:tcBorders>
          </w:tcPr>
          <w:p w:rsidR="0045536B" w:rsidRPr="004374C7" w:rsidRDefault="0045536B" w:rsidP="00C34A34">
            <w:pPr>
              <w:rPr>
                <w:b/>
              </w:rPr>
            </w:pPr>
            <w:r w:rsidRPr="004374C7">
              <w:rPr>
                <w:b/>
              </w:rPr>
              <w:t>Splenektomie</w:t>
            </w:r>
          </w:p>
          <w:p w:rsidR="0045536B" w:rsidRPr="004374C7" w:rsidRDefault="0045536B" w:rsidP="00C34A34">
            <w:pPr>
              <w:rPr>
                <w:b/>
              </w:rPr>
            </w:pPr>
            <w:r w:rsidRPr="004374C7">
              <w:rPr>
                <w:b/>
              </w:rPr>
              <w:t>Leberresektion</w:t>
            </w:r>
          </w:p>
          <w:p w:rsidR="0045536B" w:rsidRPr="004374C7" w:rsidRDefault="0045536B" w:rsidP="00C34A34">
            <w:pPr>
              <w:rPr>
                <w:b/>
              </w:rPr>
            </w:pPr>
            <w:r w:rsidRPr="004374C7">
              <w:rPr>
                <w:b/>
              </w:rPr>
              <w:t>Adrenalektomie</w:t>
            </w:r>
          </w:p>
          <w:p w:rsidR="0045536B" w:rsidRDefault="0045536B" w:rsidP="00C34A34">
            <w:r w:rsidRPr="004374C7">
              <w:rPr>
                <w:b/>
              </w:rPr>
              <w:t>Partielle und total Du</w:t>
            </w:r>
            <w:r w:rsidRPr="004374C7">
              <w:rPr>
                <w:b/>
              </w:rPr>
              <w:t>o</w:t>
            </w:r>
            <w:r w:rsidRPr="004374C7">
              <w:rPr>
                <w:b/>
              </w:rPr>
              <w:t>denopankreatektomie</w:t>
            </w:r>
          </w:p>
        </w:tc>
        <w:tc>
          <w:tcPr>
            <w:tcW w:w="3183" w:type="dxa"/>
          </w:tcPr>
          <w:p w:rsidR="0045536B" w:rsidRPr="001233D2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>Cefazolin i.v.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/>
          <w:p w:rsidR="0045536B" w:rsidRDefault="0045536B" w:rsidP="00C34A34"/>
        </w:tc>
        <w:tc>
          <w:tcPr>
            <w:tcW w:w="2977" w:type="dxa"/>
          </w:tcPr>
          <w:p w:rsidR="0045536B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 xml:space="preserve">Vancomycin </w:t>
            </w:r>
          </w:p>
          <w:p w:rsidR="0045536B" w:rsidRDefault="0045536B" w:rsidP="00C34A34">
            <w:r w:rsidRPr="001233D2">
              <w:t>20</w:t>
            </w:r>
            <w:r w:rsidRPr="00B31CDD">
              <w:t xml:space="preserve"> mg/kg KG </w:t>
            </w:r>
          </w:p>
          <w:p w:rsidR="0045536B" w:rsidRDefault="0045536B" w:rsidP="00C34A34">
            <w:r w:rsidRPr="00B31CDD">
              <w:t>(max. 3000 mg)</w:t>
            </w:r>
          </w:p>
          <w:p w:rsidR="0045536B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1233D2" w:rsidRDefault="0045536B" w:rsidP="00C34A34">
            <w:pPr>
              <w:rPr>
                <w:b/>
              </w:rPr>
            </w:pPr>
            <w:r w:rsidRPr="001233D2">
              <w:rPr>
                <w:b/>
              </w:rPr>
              <w:t>Clindamycin i.v.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</w:tc>
      </w:tr>
      <w:tr w:rsidR="0045536B" w:rsidTr="00C34A34">
        <w:tc>
          <w:tcPr>
            <w:tcW w:w="2737" w:type="dxa"/>
            <w:tcBorders>
              <w:bottom w:val="single" w:sz="4" w:space="0" w:color="auto"/>
            </w:tcBorders>
          </w:tcPr>
          <w:p w:rsidR="0045536B" w:rsidRPr="004374C7" w:rsidRDefault="0045536B" w:rsidP="00C34A34">
            <w:pPr>
              <w:rPr>
                <w:b/>
              </w:rPr>
            </w:pPr>
          </w:p>
        </w:tc>
        <w:tc>
          <w:tcPr>
            <w:tcW w:w="3183" w:type="dxa"/>
          </w:tcPr>
          <w:p w:rsidR="0045536B" w:rsidRPr="001233D2" w:rsidRDefault="0045536B" w:rsidP="00C34A34">
            <w:pPr>
              <w:rPr>
                <w:b/>
              </w:rPr>
            </w:pPr>
          </w:p>
        </w:tc>
        <w:tc>
          <w:tcPr>
            <w:tcW w:w="2977" w:type="dxa"/>
          </w:tcPr>
          <w:p w:rsidR="0045536B" w:rsidRPr="001233D2" w:rsidRDefault="0045536B" w:rsidP="00C34A34">
            <w:pPr>
              <w:rPr>
                <w:b/>
              </w:rPr>
            </w:pPr>
          </w:p>
        </w:tc>
      </w:tr>
    </w:tbl>
    <w:p w:rsidR="0045536B" w:rsidRDefault="0045536B" w:rsidP="0045536B"/>
    <w:p w:rsidR="0045536B" w:rsidRPr="007B7FA6" w:rsidRDefault="0045536B" w:rsidP="0045536B">
      <w:pPr>
        <w:rPr>
          <w:u w:val="single"/>
        </w:rPr>
      </w:pPr>
    </w:p>
    <w:p w:rsidR="0045536B" w:rsidRPr="001F617E" w:rsidRDefault="0045536B" w:rsidP="0045536B">
      <w:r>
        <w:rPr>
          <w:u w:val="single"/>
        </w:rPr>
        <w:t xml:space="preserve">        </w:t>
      </w:r>
    </w:p>
    <w:p w:rsidR="0045536B" w:rsidRPr="001F617E" w:rsidRDefault="0045536B" w:rsidP="0045536B">
      <w:pPr>
        <w:pStyle w:val="Listenabsatz"/>
        <w:numPr>
          <w:ilvl w:val="0"/>
          <w:numId w:val="0"/>
        </w:numPr>
        <w:ind w:left="644"/>
        <w:rPr>
          <w:u w:val="single"/>
        </w:rPr>
      </w:pPr>
    </w:p>
    <w:p w:rsidR="0045536B" w:rsidRPr="00B07AA2" w:rsidRDefault="00C4685C" w:rsidP="004553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column"/>
      </w:r>
      <w:r w:rsidR="00B07AA2" w:rsidRPr="00B07AA2">
        <w:rPr>
          <w:b/>
          <w:sz w:val="28"/>
          <w:szCs w:val="28"/>
          <w:u w:val="single"/>
        </w:rPr>
        <w:t>Schilddrüsenzentrum</w:t>
      </w:r>
    </w:p>
    <w:p w:rsidR="0045536B" w:rsidRDefault="0045536B" w:rsidP="0045536B">
      <w:pPr>
        <w:ind w:left="360"/>
        <w:rPr>
          <w:u w:val="single"/>
        </w:rPr>
      </w:pPr>
    </w:p>
    <w:p w:rsidR="0045536B" w:rsidRDefault="0045536B" w:rsidP="0045536B">
      <w:pPr>
        <w:ind w:left="360"/>
        <w:rPr>
          <w:u w:val="single"/>
        </w:rPr>
      </w:pPr>
    </w:p>
    <w:tbl>
      <w:tblPr>
        <w:tblStyle w:val="TabellenrasterLUKS1"/>
        <w:tblW w:w="0" w:type="auto"/>
        <w:tblLook w:val="04A0" w:firstRow="1" w:lastRow="0" w:firstColumn="1" w:lastColumn="0" w:noHBand="0" w:noVBand="1"/>
      </w:tblPr>
      <w:tblGrid>
        <w:gridCol w:w="3155"/>
        <w:gridCol w:w="2723"/>
        <w:gridCol w:w="2784"/>
      </w:tblGrid>
      <w:tr w:rsidR="00B07AA2" w:rsidTr="00C34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5" w:type="dxa"/>
            <w:shd w:val="clear" w:color="auto" w:fill="C5DCF3" w:themeFill="accent4" w:themeFillTint="33"/>
          </w:tcPr>
          <w:p w:rsidR="00B07AA2" w:rsidRPr="00D36E64" w:rsidRDefault="00B07AA2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Eingriff</w:t>
            </w:r>
          </w:p>
        </w:tc>
        <w:tc>
          <w:tcPr>
            <w:tcW w:w="2723" w:type="dxa"/>
            <w:shd w:val="clear" w:color="auto" w:fill="C5DCF3" w:themeFill="accent4" w:themeFillTint="33"/>
          </w:tcPr>
          <w:p w:rsidR="00B07AA2" w:rsidRDefault="00B07AA2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Empfehlung</w:t>
            </w:r>
            <w:r>
              <w:rPr>
                <w:color w:val="auto"/>
              </w:rPr>
              <w:t xml:space="preserve"> </w:t>
            </w:r>
          </w:p>
          <w:p w:rsidR="00B07AA2" w:rsidRPr="008D0D2E" w:rsidRDefault="00B07AA2" w:rsidP="00C34A34">
            <w:pPr>
              <w:rPr>
                <w:b w:val="0"/>
                <w:color w:val="auto"/>
              </w:rPr>
            </w:pPr>
            <w:r w:rsidRPr="008D0D2E">
              <w:rPr>
                <w:b w:val="0"/>
                <w:color w:val="auto"/>
              </w:rPr>
              <w:t>(</w:t>
            </w:r>
            <w:r>
              <w:rPr>
                <w:b w:val="0"/>
                <w:color w:val="auto"/>
              </w:rPr>
              <w:t>gilt auch bei "Allergie"-Anamnese</w:t>
            </w:r>
            <w:r w:rsidRPr="008D0D2E">
              <w:rPr>
                <w:b w:val="0"/>
                <w:color w:val="auto"/>
              </w:rPr>
              <w:t xml:space="preserve"> mit makul</w:t>
            </w:r>
            <w:r w:rsidRPr="008D0D2E">
              <w:rPr>
                <w:b w:val="0"/>
                <w:color w:val="auto"/>
              </w:rPr>
              <w:t>o</w:t>
            </w:r>
            <w:r w:rsidRPr="008D0D2E">
              <w:rPr>
                <w:b w:val="0"/>
                <w:color w:val="auto"/>
              </w:rPr>
              <w:t>papulösem Exanthem unter Penicillin</w:t>
            </w:r>
            <w:r>
              <w:rPr>
                <w:b w:val="0"/>
                <w:color w:val="auto"/>
              </w:rPr>
              <w:t>-</w:t>
            </w:r>
            <w:r w:rsidRPr="008D0D2E">
              <w:rPr>
                <w:b w:val="0"/>
                <w:color w:val="auto"/>
              </w:rPr>
              <w:t xml:space="preserve"> und a</w:t>
            </w:r>
            <w:r w:rsidRPr="008D0D2E">
              <w:rPr>
                <w:b w:val="0"/>
                <w:color w:val="auto"/>
              </w:rPr>
              <w:t>n</w:t>
            </w:r>
            <w:r w:rsidRPr="008D0D2E">
              <w:rPr>
                <w:b w:val="0"/>
                <w:color w:val="auto"/>
              </w:rPr>
              <w:t>deren Betalaktam-Antibiotika)</w:t>
            </w:r>
          </w:p>
        </w:tc>
        <w:tc>
          <w:tcPr>
            <w:tcW w:w="2784" w:type="dxa"/>
            <w:shd w:val="clear" w:color="auto" w:fill="C5DCF3" w:themeFill="accent4" w:themeFillTint="33"/>
          </w:tcPr>
          <w:p w:rsidR="00B07AA2" w:rsidRPr="00997D59" w:rsidRDefault="00B07AA2" w:rsidP="00C34A34">
            <w:pPr>
              <w:rPr>
                <w:color w:val="auto"/>
              </w:rPr>
            </w:pPr>
            <w:r w:rsidRPr="00997D59">
              <w:rPr>
                <w:color w:val="auto"/>
              </w:rPr>
              <w:t xml:space="preserve">Alternative </w:t>
            </w:r>
          </w:p>
          <w:p w:rsidR="00B07AA2" w:rsidRPr="00D36E64" w:rsidRDefault="00B07AA2" w:rsidP="00C34A34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997D59">
              <w:rPr>
                <w:b w:val="0"/>
                <w:color w:val="auto"/>
              </w:rPr>
              <w:t>bei Anaphylaxie, Bro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chospasmus, Lyell-Syndrom oder Hyperse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sitivitätssyndrom nach Penicillin</w:t>
            </w:r>
            <w:r>
              <w:rPr>
                <w:b w:val="0"/>
                <w:color w:val="auto"/>
              </w:rPr>
              <w:t>-</w:t>
            </w:r>
            <w:r w:rsidRPr="00997D59">
              <w:rPr>
                <w:b w:val="0"/>
                <w:color w:val="auto"/>
              </w:rPr>
              <w:t xml:space="preserve"> oder anderen Be</w:t>
            </w:r>
            <w:r>
              <w:rPr>
                <w:b w:val="0"/>
                <w:color w:val="auto"/>
              </w:rPr>
              <w:t>talaktam-Antibiotikum in der Vorgeschichte)</w:t>
            </w:r>
          </w:p>
        </w:tc>
      </w:tr>
      <w:tr w:rsidR="00C34A34" w:rsidTr="00C34A34">
        <w:tc>
          <w:tcPr>
            <w:tcW w:w="3155" w:type="dxa"/>
          </w:tcPr>
          <w:p w:rsidR="00C4685C" w:rsidRDefault="00C34A34" w:rsidP="00C34A34">
            <w:pPr>
              <w:rPr>
                <w:b/>
              </w:rPr>
            </w:pPr>
            <w:r w:rsidRPr="004374C7">
              <w:rPr>
                <w:b/>
              </w:rPr>
              <w:t>Thyreoidektomie und P</w:t>
            </w:r>
            <w:r w:rsidRPr="004374C7">
              <w:rPr>
                <w:b/>
              </w:rPr>
              <w:t>a</w:t>
            </w:r>
            <w:r w:rsidRPr="004374C7">
              <w:rPr>
                <w:b/>
              </w:rPr>
              <w:t>rathyreoidektomie</w:t>
            </w:r>
            <w:r w:rsidR="00C4685C">
              <w:rPr>
                <w:b/>
              </w:rPr>
              <w:t xml:space="preserve"> </w:t>
            </w:r>
          </w:p>
          <w:p w:rsidR="00C34A34" w:rsidRPr="004374C7" w:rsidRDefault="00C4685C" w:rsidP="00C34A34">
            <w:pPr>
              <w:rPr>
                <w:b/>
              </w:rPr>
            </w:pPr>
            <w:r>
              <w:t>O</w:t>
            </w:r>
            <w:r w:rsidRPr="00C4685C">
              <w:t>hne Risikofaktoren</w:t>
            </w:r>
          </w:p>
        </w:tc>
        <w:tc>
          <w:tcPr>
            <w:tcW w:w="2723" w:type="dxa"/>
          </w:tcPr>
          <w:p w:rsidR="00C34A34" w:rsidRPr="00D36E64" w:rsidRDefault="00C34A34" w:rsidP="00C34A34">
            <w:pPr>
              <w:rPr>
                <w:b/>
              </w:rPr>
            </w:pPr>
            <w:r>
              <w:t>Keine Prophylaxe</w:t>
            </w:r>
          </w:p>
        </w:tc>
        <w:tc>
          <w:tcPr>
            <w:tcW w:w="2784" w:type="dxa"/>
          </w:tcPr>
          <w:p w:rsidR="00C34A34" w:rsidRPr="00D36E64" w:rsidRDefault="00C34A34" w:rsidP="00C34A34">
            <w:pPr>
              <w:rPr>
                <w:b/>
              </w:rPr>
            </w:pPr>
          </w:p>
        </w:tc>
      </w:tr>
      <w:tr w:rsidR="00C34A34" w:rsidTr="00C34A34">
        <w:tc>
          <w:tcPr>
            <w:tcW w:w="3155" w:type="dxa"/>
          </w:tcPr>
          <w:p w:rsidR="00C34A34" w:rsidRDefault="00C34A34" w:rsidP="00C34A34">
            <w:pPr>
              <w:rPr>
                <w:b/>
              </w:rPr>
            </w:pPr>
            <w:r w:rsidRPr="004374C7">
              <w:rPr>
                <w:b/>
              </w:rPr>
              <w:t>Thyreoidektomie und P</w:t>
            </w:r>
            <w:r w:rsidRPr="004374C7">
              <w:rPr>
                <w:b/>
              </w:rPr>
              <w:t>a</w:t>
            </w:r>
            <w:r w:rsidRPr="004374C7">
              <w:rPr>
                <w:b/>
              </w:rPr>
              <w:t>rathyreoidektomie</w:t>
            </w:r>
          </w:p>
          <w:p w:rsidR="00C34A34" w:rsidRPr="00C34A34" w:rsidRDefault="00C34A34" w:rsidP="00617B3D">
            <w:r w:rsidRPr="00C34A34">
              <w:t>Mit Risikofaktoren:</w:t>
            </w:r>
          </w:p>
          <w:p w:rsidR="00C34A34" w:rsidRPr="00C34A34" w:rsidRDefault="00C34A34" w:rsidP="00C34A34">
            <w:pPr>
              <w:pStyle w:val="Listenabsatz"/>
              <w:numPr>
                <w:ilvl w:val="0"/>
                <w:numId w:val="35"/>
              </w:numPr>
              <w:rPr>
                <w:b/>
              </w:rPr>
            </w:pPr>
            <w:r w:rsidRPr="00C34A34">
              <w:t>Verlängerte erwartete OP-Zeit</w:t>
            </w:r>
            <w:r>
              <w:t xml:space="preserve"> (&gt;3h)</w:t>
            </w:r>
          </w:p>
          <w:p w:rsidR="00C34A34" w:rsidRPr="00E56E19" w:rsidRDefault="00C34A34" w:rsidP="00C34A34">
            <w:pPr>
              <w:pStyle w:val="Listenabsatz"/>
              <w:numPr>
                <w:ilvl w:val="0"/>
                <w:numId w:val="35"/>
              </w:numPr>
              <w:rPr>
                <w:b/>
              </w:rPr>
            </w:pPr>
            <w:r>
              <w:t>Sternotomie</w:t>
            </w:r>
          </w:p>
          <w:p w:rsidR="00E56E19" w:rsidRPr="00E56E19" w:rsidRDefault="00E56E19" w:rsidP="00C34A34">
            <w:pPr>
              <w:pStyle w:val="Listenabsatz"/>
              <w:numPr>
                <w:ilvl w:val="0"/>
                <w:numId w:val="35"/>
              </w:numPr>
              <w:rPr>
                <w:b/>
              </w:rPr>
            </w:pPr>
            <w:r>
              <w:t>Rezidiveingriff</w:t>
            </w:r>
          </w:p>
          <w:p w:rsidR="00E56E19" w:rsidRPr="00C34A34" w:rsidRDefault="00E56E19" w:rsidP="00C34A34">
            <w:pPr>
              <w:pStyle w:val="Listenabsatz"/>
              <w:numPr>
                <w:ilvl w:val="0"/>
                <w:numId w:val="35"/>
              </w:numPr>
              <w:rPr>
                <w:b/>
              </w:rPr>
            </w:pPr>
            <w:r>
              <w:t>Revision bei Nachbl</w:t>
            </w:r>
            <w:r>
              <w:t>u</w:t>
            </w:r>
            <w:r>
              <w:t>tung</w:t>
            </w:r>
          </w:p>
          <w:p w:rsidR="00C34A34" w:rsidRPr="00C34A34" w:rsidRDefault="00C34A34" w:rsidP="00617B3D">
            <w:pPr>
              <w:pStyle w:val="Listenabsatz"/>
              <w:numPr>
                <w:ilvl w:val="0"/>
                <w:numId w:val="0"/>
              </w:numPr>
              <w:ind w:left="720"/>
              <w:rPr>
                <w:b/>
              </w:rPr>
            </w:pPr>
          </w:p>
        </w:tc>
        <w:tc>
          <w:tcPr>
            <w:tcW w:w="2723" w:type="dxa"/>
          </w:tcPr>
          <w:p w:rsidR="00C34A34" w:rsidRPr="00D36E64" w:rsidRDefault="00C34A34" w:rsidP="00C34A34">
            <w:pPr>
              <w:rPr>
                <w:b/>
              </w:rPr>
            </w:pPr>
            <w:r w:rsidRPr="00D36E64">
              <w:rPr>
                <w:b/>
              </w:rPr>
              <w:t>Cefazolin i.v.</w:t>
            </w:r>
          </w:p>
          <w:p w:rsidR="00C34A34" w:rsidRDefault="00C34A34" w:rsidP="00C34A34">
            <w:r>
              <w:t>&lt;120 kg: 2 g</w:t>
            </w:r>
          </w:p>
          <w:p w:rsidR="00C34A34" w:rsidRDefault="00C34A34" w:rsidP="00C34A34">
            <w:r>
              <w:t>&gt;120 kg: 3 g</w:t>
            </w:r>
          </w:p>
          <w:p w:rsidR="00C34A34" w:rsidRDefault="00C34A34" w:rsidP="00C34A34"/>
          <w:p w:rsidR="00C34A34" w:rsidRPr="00D36E64" w:rsidRDefault="00C34A34" w:rsidP="00C34A34">
            <w:pPr>
              <w:rPr>
                <w:b/>
              </w:rPr>
            </w:pPr>
          </w:p>
        </w:tc>
        <w:tc>
          <w:tcPr>
            <w:tcW w:w="2784" w:type="dxa"/>
          </w:tcPr>
          <w:p w:rsidR="00C34A34" w:rsidRPr="00D36E64" w:rsidRDefault="00C34A34" w:rsidP="00C34A34">
            <w:pPr>
              <w:rPr>
                <w:b/>
              </w:rPr>
            </w:pPr>
            <w:r w:rsidRPr="00D36E64">
              <w:rPr>
                <w:b/>
              </w:rPr>
              <w:t>Clindamycin i.v.</w:t>
            </w:r>
          </w:p>
          <w:p w:rsidR="00C34A34" w:rsidRPr="00B31CDD" w:rsidRDefault="00C34A34" w:rsidP="00C34A34">
            <w:r w:rsidRPr="00B31CDD">
              <w:t>&lt;80 kg: 600 mg</w:t>
            </w:r>
          </w:p>
          <w:p w:rsidR="00C34A34" w:rsidRDefault="00C34A34" w:rsidP="00C34A34">
            <w:r w:rsidRPr="00B31CDD">
              <w:t>&gt;80 kg: 900 mg</w:t>
            </w:r>
          </w:p>
          <w:p w:rsidR="00C34A34" w:rsidRDefault="00C34A34" w:rsidP="00C34A34"/>
          <w:p w:rsidR="00C34A34" w:rsidRPr="00D36E64" w:rsidRDefault="00C34A34" w:rsidP="00C34A34">
            <w:pPr>
              <w:rPr>
                <w:b/>
              </w:rPr>
            </w:pPr>
          </w:p>
        </w:tc>
      </w:tr>
    </w:tbl>
    <w:p w:rsidR="00C4685C" w:rsidRDefault="00C4685C" w:rsidP="0045536B">
      <w:pPr>
        <w:rPr>
          <w:b/>
          <w:sz w:val="28"/>
          <w:szCs w:val="28"/>
        </w:rPr>
      </w:pPr>
    </w:p>
    <w:p w:rsidR="0045536B" w:rsidRPr="00D36E64" w:rsidRDefault="00C4685C" w:rsidP="004553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45536B" w:rsidRPr="00D36E64">
        <w:rPr>
          <w:b/>
          <w:sz w:val="28"/>
          <w:szCs w:val="28"/>
        </w:rPr>
        <w:t>Unfallchirurgie und Orthopädie</w:t>
      </w:r>
      <w:r w:rsidR="0045536B">
        <w:rPr>
          <w:b/>
          <w:sz w:val="28"/>
          <w:szCs w:val="28"/>
        </w:rPr>
        <w:t xml:space="preserve"> </w:t>
      </w:r>
    </w:p>
    <w:p w:rsidR="0045536B" w:rsidRDefault="0045536B" w:rsidP="0045536B"/>
    <w:tbl>
      <w:tblPr>
        <w:tblStyle w:val="TabellenrasterLUKS1"/>
        <w:tblW w:w="0" w:type="auto"/>
        <w:tblLook w:val="04A0" w:firstRow="1" w:lastRow="0" w:firstColumn="1" w:lastColumn="0" w:noHBand="0" w:noVBand="1"/>
      </w:tblPr>
      <w:tblGrid>
        <w:gridCol w:w="2711"/>
        <w:gridCol w:w="2955"/>
        <w:gridCol w:w="2784"/>
      </w:tblGrid>
      <w:tr w:rsidR="0045536B" w:rsidTr="00625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1" w:type="dxa"/>
            <w:shd w:val="clear" w:color="auto" w:fill="C5DCF3" w:themeFill="accent4" w:themeFillTint="33"/>
          </w:tcPr>
          <w:p w:rsidR="0045536B" w:rsidRPr="00D36E64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Eingriff</w:t>
            </w:r>
          </w:p>
        </w:tc>
        <w:tc>
          <w:tcPr>
            <w:tcW w:w="2955" w:type="dxa"/>
            <w:shd w:val="clear" w:color="auto" w:fill="C5DCF3" w:themeFill="accent4" w:themeFillTint="33"/>
          </w:tcPr>
          <w:p w:rsidR="0045536B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Empfehlung</w:t>
            </w:r>
            <w:r>
              <w:rPr>
                <w:color w:val="auto"/>
              </w:rPr>
              <w:t xml:space="preserve"> </w:t>
            </w:r>
          </w:p>
          <w:p w:rsidR="0045536B" w:rsidRPr="008D0D2E" w:rsidRDefault="0045536B" w:rsidP="00C34A34">
            <w:pPr>
              <w:rPr>
                <w:b w:val="0"/>
                <w:color w:val="auto"/>
              </w:rPr>
            </w:pPr>
            <w:r w:rsidRPr="008D0D2E">
              <w:rPr>
                <w:b w:val="0"/>
                <w:color w:val="auto"/>
              </w:rPr>
              <w:t>(</w:t>
            </w:r>
            <w:r>
              <w:rPr>
                <w:b w:val="0"/>
                <w:color w:val="auto"/>
              </w:rPr>
              <w:t>gilt auch bei "Allergie"-Anamnese</w:t>
            </w:r>
            <w:r w:rsidRPr="008D0D2E">
              <w:rPr>
                <w:b w:val="0"/>
                <w:color w:val="auto"/>
              </w:rPr>
              <w:t xml:space="preserve"> mit makulop</w:t>
            </w:r>
            <w:r w:rsidRPr="008D0D2E">
              <w:rPr>
                <w:b w:val="0"/>
                <w:color w:val="auto"/>
              </w:rPr>
              <w:t>a</w:t>
            </w:r>
            <w:r w:rsidRPr="008D0D2E">
              <w:rPr>
                <w:b w:val="0"/>
                <w:color w:val="auto"/>
              </w:rPr>
              <w:t>pulösem Exanthem unter Penicillin</w:t>
            </w:r>
            <w:r>
              <w:rPr>
                <w:b w:val="0"/>
                <w:color w:val="auto"/>
              </w:rPr>
              <w:t>-</w:t>
            </w:r>
            <w:r w:rsidRPr="008D0D2E">
              <w:rPr>
                <w:b w:val="0"/>
                <w:color w:val="auto"/>
              </w:rPr>
              <w:t xml:space="preserve"> und anderen B</w:t>
            </w:r>
            <w:r w:rsidRPr="008D0D2E">
              <w:rPr>
                <w:b w:val="0"/>
                <w:color w:val="auto"/>
              </w:rPr>
              <w:t>e</w:t>
            </w:r>
            <w:r w:rsidRPr="008D0D2E">
              <w:rPr>
                <w:b w:val="0"/>
                <w:color w:val="auto"/>
              </w:rPr>
              <w:t>talaktam-Antibiotika)</w:t>
            </w:r>
          </w:p>
        </w:tc>
        <w:tc>
          <w:tcPr>
            <w:tcW w:w="2784" w:type="dxa"/>
            <w:shd w:val="clear" w:color="auto" w:fill="C5DCF3" w:themeFill="accent4" w:themeFillTint="33"/>
          </w:tcPr>
          <w:p w:rsidR="0045536B" w:rsidRPr="00997D59" w:rsidRDefault="0045536B" w:rsidP="00C34A34">
            <w:pPr>
              <w:rPr>
                <w:color w:val="auto"/>
              </w:rPr>
            </w:pPr>
            <w:r w:rsidRPr="00997D59">
              <w:rPr>
                <w:color w:val="auto"/>
              </w:rPr>
              <w:t xml:space="preserve">Alternative </w:t>
            </w:r>
          </w:p>
          <w:p w:rsidR="0045536B" w:rsidRPr="00D36E64" w:rsidRDefault="0045536B" w:rsidP="00C34A34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997D59">
              <w:rPr>
                <w:b w:val="0"/>
                <w:color w:val="auto"/>
              </w:rPr>
              <w:t>bei Anaphylaxie, Bro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chospasmus, Lyell-Syndrom oder Hyperse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sitivitätssyndrom nach Penicillin</w:t>
            </w:r>
            <w:r>
              <w:rPr>
                <w:b w:val="0"/>
                <w:color w:val="auto"/>
              </w:rPr>
              <w:t>-</w:t>
            </w:r>
            <w:r w:rsidRPr="00997D59">
              <w:rPr>
                <w:b w:val="0"/>
                <w:color w:val="auto"/>
              </w:rPr>
              <w:t xml:space="preserve"> oder anderen Be</w:t>
            </w:r>
            <w:r>
              <w:rPr>
                <w:b w:val="0"/>
                <w:color w:val="auto"/>
              </w:rPr>
              <w:t>talaktam-Antibiotikum in der Vorgeschichte)</w:t>
            </w:r>
          </w:p>
        </w:tc>
      </w:tr>
      <w:tr w:rsidR="0045536B" w:rsidTr="00625AD0">
        <w:tc>
          <w:tcPr>
            <w:tcW w:w="2711" w:type="dxa"/>
          </w:tcPr>
          <w:p w:rsidR="0045536B" w:rsidRPr="00556838" w:rsidRDefault="0045536B" w:rsidP="008B2769">
            <w:pPr>
              <w:rPr>
                <w:b/>
              </w:rPr>
            </w:pPr>
            <w:r>
              <w:rPr>
                <w:b/>
              </w:rPr>
              <w:t>Alle Eingriffe mit I</w:t>
            </w:r>
            <w:r>
              <w:rPr>
                <w:b/>
              </w:rPr>
              <w:t>m</w:t>
            </w:r>
            <w:r>
              <w:rPr>
                <w:b/>
              </w:rPr>
              <w:t>plantation von Frem</w:t>
            </w:r>
            <w:r>
              <w:rPr>
                <w:b/>
              </w:rPr>
              <w:t>d</w:t>
            </w:r>
            <w:r>
              <w:rPr>
                <w:b/>
              </w:rPr>
              <w:t xml:space="preserve">körpern </w:t>
            </w:r>
            <w:r w:rsidR="008B2769">
              <w:t>(Osteosynthese,</w:t>
            </w:r>
            <w:r w:rsidRPr="004374C7">
              <w:t xml:space="preserve"> Bandplastiken, Drähte, Anker, andere)</w:t>
            </w:r>
          </w:p>
        </w:tc>
        <w:tc>
          <w:tcPr>
            <w:tcW w:w="2955" w:type="dxa"/>
          </w:tcPr>
          <w:p w:rsidR="000D52A6" w:rsidRPr="00D36E64" w:rsidRDefault="000D52A6" w:rsidP="000D52A6">
            <w:pPr>
              <w:rPr>
                <w:b/>
              </w:rPr>
            </w:pPr>
            <w:r w:rsidRPr="00D36E64">
              <w:rPr>
                <w:b/>
              </w:rPr>
              <w:t>Cefazolin i.v.</w:t>
            </w:r>
          </w:p>
          <w:p w:rsidR="000D52A6" w:rsidRDefault="000D52A6" w:rsidP="000D52A6">
            <w:r>
              <w:t>&lt;120 kg: 2 g</w:t>
            </w:r>
          </w:p>
          <w:p w:rsidR="000D52A6" w:rsidRDefault="000D52A6" w:rsidP="000D52A6">
            <w:r>
              <w:t>&gt;120 kg: 3 g</w:t>
            </w:r>
          </w:p>
          <w:p w:rsidR="0045536B" w:rsidRDefault="0045536B" w:rsidP="00C34A34"/>
        </w:tc>
        <w:tc>
          <w:tcPr>
            <w:tcW w:w="2784" w:type="dxa"/>
          </w:tcPr>
          <w:p w:rsidR="000D52A6" w:rsidRDefault="000D52A6" w:rsidP="000D52A6">
            <w:pPr>
              <w:rPr>
                <w:b/>
              </w:rPr>
            </w:pPr>
            <w:r w:rsidRPr="00D36E64">
              <w:rPr>
                <w:b/>
              </w:rPr>
              <w:t xml:space="preserve">Vancomycin </w:t>
            </w:r>
          </w:p>
          <w:p w:rsidR="000D52A6" w:rsidRDefault="000D52A6" w:rsidP="000D52A6">
            <w:r w:rsidRPr="00B31CDD">
              <w:t xml:space="preserve">20 mg/kg KG </w:t>
            </w:r>
          </w:p>
          <w:p w:rsidR="000D52A6" w:rsidRDefault="000D52A6" w:rsidP="000D52A6">
            <w:r w:rsidRPr="00B31CDD">
              <w:t>(max. 3000 mg)</w:t>
            </w:r>
          </w:p>
          <w:p w:rsidR="000D52A6" w:rsidRPr="00B31CDD" w:rsidRDefault="000D52A6" w:rsidP="000D52A6"/>
          <w:p w:rsidR="000D52A6" w:rsidRPr="00B31CDD" w:rsidRDefault="000D52A6" w:rsidP="000D52A6">
            <w:r w:rsidRPr="00B31CDD">
              <w:t>Alternative</w:t>
            </w:r>
            <w:r>
              <w:t>:</w:t>
            </w:r>
          </w:p>
          <w:p w:rsidR="000D52A6" w:rsidRPr="00D36E64" w:rsidRDefault="000D52A6" w:rsidP="000D52A6">
            <w:pPr>
              <w:rPr>
                <w:b/>
              </w:rPr>
            </w:pPr>
            <w:r w:rsidRPr="00D36E64">
              <w:rPr>
                <w:b/>
              </w:rPr>
              <w:t>Clindamycin i.v.</w:t>
            </w:r>
          </w:p>
          <w:p w:rsidR="000D52A6" w:rsidRPr="00B31CDD" w:rsidRDefault="000D52A6" w:rsidP="000D52A6">
            <w:r w:rsidRPr="00B31CDD">
              <w:t>&lt;80 kg: 600 mg</w:t>
            </w:r>
          </w:p>
          <w:p w:rsidR="0045536B" w:rsidRPr="00B31CDD" w:rsidRDefault="000D52A6" w:rsidP="000D52A6">
            <w:r w:rsidRPr="00B31CDD">
              <w:t>&gt;80 kg: 900 mg</w:t>
            </w:r>
          </w:p>
        </w:tc>
      </w:tr>
      <w:tr w:rsidR="00625AD0" w:rsidTr="00625AD0">
        <w:tc>
          <w:tcPr>
            <w:tcW w:w="2711" w:type="dxa"/>
          </w:tcPr>
          <w:p w:rsidR="00625AD0" w:rsidRPr="004374C7" w:rsidRDefault="00625AD0" w:rsidP="00C34A34">
            <w:pPr>
              <w:rPr>
                <w:b/>
              </w:rPr>
            </w:pPr>
            <w:r>
              <w:rPr>
                <w:b/>
              </w:rPr>
              <w:t>Hüft-TP, Periartikuläre Osteotomie (PAO), Knie-TP</w:t>
            </w:r>
            <w:r w:rsidR="00061D29">
              <w:rPr>
                <w:b/>
              </w:rPr>
              <w:t>, Schulterpr</w:t>
            </w:r>
            <w:r w:rsidR="00061D29">
              <w:rPr>
                <w:b/>
              </w:rPr>
              <w:t>o</w:t>
            </w:r>
            <w:r w:rsidR="00061D29">
              <w:rPr>
                <w:b/>
              </w:rPr>
              <w:t>thesen</w:t>
            </w:r>
          </w:p>
        </w:tc>
        <w:tc>
          <w:tcPr>
            <w:tcW w:w="2955" w:type="dxa"/>
          </w:tcPr>
          <w:p w:rsidR="00625AD0" w:rsidRPr="00D36E64" w:rsidRDefault="00625AD0" w:rsidP="00365C11">
            <w:pPr>
              <w:rPr>
                <w:b/>
              </w:rPr>
            </w:pPr>
            <w:r w:rsidRPr="00D36E64">
              <w:rPr>
                <w:b/>
              </w:rPr>
              <w:t>Cefazolin i.v.</w:t>
            </w:r>
            <w:r>
              <w:rPr>
                <w:b/>
              </w:rPr>
              <w:t xml:space="preserve"> 6-stündlich über 24 h, total 4 Dosen</w:t>
            </w:r>
          </w:p>
          <w:p w:rsidR="00625AD0" w:rsidRDefault="00625AD0" w:rsidP="00365C11">
            <w:r>
              <w:t>&lt;120 kg: 2 g</w:t>
            </w:r>
          </w:p>
          <w:p w:rsidR="00625AD0" w:rsidRDefault="00625AD0" w:rsidP="00365C11">
            <w:r>
              <w:t>&gt;120 kg: 3 g</w:t>
            </w:r>
          </w:p>
          <w:p w:rsidR="00625AD0" w:rsidRDefault="00625AD0" w:rsidP="00365C11"/>
          <w:p w:rsidR="00625AD0" w:rsidRDefault="00625AD0" w:rsidP="00365C11"/>
        </w:tc>
        <w:tc>
          <w:tcPr>
            <w:tcW w:w="2784" w:type="dxa"/>
          </w:tcPr>
          <w:p w:rsidR="00625AD0" w:rsidRDefault="00625AD0" w:rsidP="00625AD0">
            <w:pPr>
              <w:rPr>
                <w:b/>
              </w:rPr>
            </w:pPr>
            <w:r w:rsidRPr="00D36E64">
              <w:rPr>
                <w:b/>
              </w:rPr>
              <w:t xml:space="preserve">Vancomycin </w:t>
            </w:r>
            <w:r w:rsidR="0077065D">
              <w:rPr>
                <w:b/>
              </w:rPr>
              <w:t>i.v. 12-stündlich, total 2 Dosen</w:t>
            </w:r>
          </w:p>
          <w:p w:rsidR="00625AD0" w:rsidRDefault="00625AD0" w:rsidP="00625AD0">
            <w:r w:rsidRPr="00B31CDD">
              <w:t xml:space="preserve">20 mg/kg KG </w:t>
            </w:r>
          </w:p>
          <w:p w:rsidR="00625AD0" w:rsidRDefault="00625AD0" w:rsidP="00625AD0">
            <w:r w:rsidRPr="00B31CDD">
              <w:t>(max. 3000 mg)</w:t>
            </w:r>
          </w:p>
          <w:p w:rsidR="00625AD0" w:rsidRPr="00B31CDD" w:rsidRDefault="00625AD0" w:rsidP="00625AD0"/>
          <w:p w:rsidR="00625AD0" w:rsidRPr="00B31CDD" w:rsidRDefault="00625AD0" w:rsidP="00625AD0">
            <w:r w:rsidRPr="00B31CDD">
              <w:t>Alternative</w:t>
            </w:r>
            <w:r>
              <w:t>:</w:t>
            </w:r>
          </w:p>
          <w:p w:rsidR="00625AD0" w:rsidRPr="00D36E64" w:rsidRDefault="00625AD0" w:rsidP="00625AD0">
            <w:pPr>
              <w:rPr>
                <w:b/>
              </w:rPr>
            </w:pPr>
            <w:r w:rsidRPr="00D36E64">
              <w:rPr>
                <w:b/>
              </w:rPr>
              <w:t>Clindamycin i.v.</w:t>
            </w:r>
          </w:p>
          <w:p w:rsidR="00625AD0" w:rsidRPr="00B31CDD" w:rsidRDefault="00625AD0" w:rsidP="00625AD0">
            <w:r w:rsidRPr="00B31CDD">
              <w:t>&lt;80 kg: 600 mg</w:t>
            </w:r>
          </w:p>
          <w:p w:rsidR="00625AD0" w:rsidRPr="00625AD0" w:rsidRDefault="00625AD0" w:rsidP="00C34A34">
            <w:r w:rsidRPr="00B31CDD">
              <w:t>&gt;80 kg: 900 mg</w:t>
            </w:r>
          </w:p>
        </w:tc>
      </w:tr>
      <w:tr w:rsidR="00625AD0" w:rsidTr="00625AD0">
        <w:tc>
          <w:tcPr>
            <w:tcW w:w="2711" w:type="dxa"/>
          </w:tcPr>
          <w:p w:rsidR="00625AD0" w:rsidRPr="004374C7" w:rsidRDefault="00625AD0" w:rsidP="00C34A34">
            <w:pPr>
              <w:rPr>
                <w:b/>
              </w:rPr>
            </w:pPr>
            <w:r w:rsidRPr="004374C7">
              <w:rPr>
                <w:b/>
              </w:rPr>
              <w:t>Alle Eingriffe ohne I</w:t>
            </w:r>
            <w:r w:rsidRPr="004374C7">
              <w:rPr>
                <w:b/>
              </w:rPr>
              <w:t>m</w:t>
            </w:r>
            <w:r w:rsidRPr="004374C7">
              <w:rPr>
                <w:b/>
              </w:rPr>
              <w:t>plantation von Frem</w:t>
            </w:r>
            <w:r w:rsidRPr="004374C7">
              <w:rPr>
                <w:b/>
              </w:rPr>
              <w:t>d</w:t>
            </w:r>
            <w:r w:rsidRPr="004374C7">
              <w:rPr>
                <w:b/>
              </w:rPr>
              <w:t>körpern</w:t>
            </w:r>
          </w:p>
        </w:tc>
        <w:tc>
          <w:tcPr>
            <w:tcW w:w="2955" w:type="dxa"/>
          </w:tcPr>
          <w:p w:rsidR="00625AD0" w:rsidRPr="00D36E64" w:rsidRDefault="00625AD0" w:rsidP="00C34A34">
            <w:pPr>
              <w:rPr>
                <w:b/>
              </w:rPr>
            </w:pPr>
            <w:r>
              <w:t>Keine Prophylaxe</w:t>
            </w:r>
          </w:p>
        </w:tc>
        <w:tc>
          <w:tcPr>
            <w:tcW w:w="2784" w:type="dxa"/>
          </w:tcPr>
          <w:p w:rsidR="00625AD0" w:rsidRPr="00D36E64" w:rsidRDefault="00625AD0" w:rsidP="00C34A34">
            <w:pPr>
              <w:rPr>
                <w:b/>
              </w:rPr>
            </w:pPr>
          </w:p>
        </w:tc>
      </w:tr>
      <w:tr w:rsidR="00625AD0" w:rsidTr="00625AD0">
        <w:tc>
          <w:tcPr>
            <w:tcW w:w="2711" w:type="dxa"/>
          </w:tcPr>
          <w:p w:rsidR="00625AD0" w:rsidRPr="00625AD0" w:rsidRDefault="00625AD0" w:rsidP="00C34A34">
            <w:pPr>
              <w:rPr>
                <w:b/>
              </w:rPr>
            </w:pPr>
            <w:r w:rsidRPr="00625AD0">
              <w:rPr>
                <w:b/>
              </w:rPr>
              <w:t>Ausnahme: ausgedeh</w:t>
            </w:r>
            <w:r w:rsidRPr="00625AD0">
              <w:rPr>
                <w:b/>
              </w:rPr>
              <w:t>n</w:t>
            </w:r>
            <w:r w:rsidRPr="00625AD0">
              <w:rPr>
                <w:b/>
              </w:rPr>
              <w:t>te Weichteilverletzu</w:t>
            </w:r>
            <w:r w:rsidRPr="00625AD0">
              <w:rPr>
                <w:b/>
              </w:rPr>
              <w:t>n</w:t>
            </w:r>
            <w:r w:rsidRPr="00625AD0">
              <w:rPr>
                <w:b/>
              </w:rPr>
              <w:t>gen in Analogie zu Kriegsverletzungen</w:t>
            </w:r>
          </w:p>
        </w:tc>
        <w:tc>
          <w:tcPr>
            <w:tcW w:w="2955" w:type="dxa"/>
          </w:tcPr>
          <w:p w:rsidR="00625AD0" w:rsidRPr="00D36E64" w:rsidRDefault="00625AD0" w:rsidP="00625AD0">
            <w:pPr>
              <w:rPr>
                <w:b/>
              </w:rPr>
            </w:pPr>
            <w:r w:rsidRPr="00D36E64">
              <w:rPr>
                <w:b/>
              </w:rPr>
              <w:t>Cefazolin i.v.</w:t>
            </w:r>
          </w:p>
          <w:p w:rsidR="00625AD0" w:rsidRDefault="00625AD0" w:rsidP="00625AD0">
            <w:r>
              <w:t>&lt;120 kg: 2 g</w:t>
            </w:r>
          </w:p>
          <w:p w:rsidR="00625AD0" w:rsidRDefault="00625AD0" w:rsidP="00625AD0">
            <w:r>
              <w:t>&gt;120 kg: 3 g</w:t>
            </w:r>
          </w:p>
          <w:p w:rsidR="00625AD0" w:rsidRDefault="00625AD0" w:rsidP="00C34A34"/>
        </w:tc>
        <w:tc>
          <w:tcPr>
            <w:tcW w:w="2784" w:type="dxa"/>
          </w:tcPr>
          <w:p w:rsidR="00625AD0" w:rsidRDefault="00625AD0" w:rsidP="00625AD0">
            <w:pPr>
              <w:rPr>
                <w:b/>
              </w:rPr>
            </w:pPr>
            <w:r w:rsidRPr="00D36E64">
              <w:rPr>
                <w:b/>
              </w:rPr>
              <w:t xml:space="preserve">Vancomycin </w:t>
            </w:r>
          </w:p>
          <w:p w:rsidR="00625AD0" w:rsidRDefault="00625AD0" w:rsidP="00625AD0">
            <w:r w:rsidRPr="00B31CDD">
              <w:t xml:space="preserve">20 mg/kg KG </w:t>
            </w:r>
          </w:p>
          <w:p w:rsidR="00625AD0" w:rsidRDefault="00625AD0" w:rsidP="00625AD0">
            <w:r w:rsidRPr="00B31CDD">
              <w:t>(max. 3000 mg)</w:t>
            </w:r>
          </w:p>
          <w:p w:rsidR="00625AD0" w:rsidRPr="00B31CDD" w:rsidRDefault="00625AD0" w:rsidP="00625AD0"/>
          <w:p w:rsidR="00625AD0" w:rsidRPr="00B31CDD" w:rsidRDefault="00625AD0" w:rsidP="00625AD0">
            <w:r w:rsidRPr="00B31CDD">
              <w:t>Alternative</w:t>
            </w:r>
            <w:r>
              <w:t>:</w:t>
            </w:r>
          </w:p>
          <w:p w:rsidR="00625AD0" w:rsidRPr="00D36E64" w:rsidRDefault="00625AD0" w:rsidP="00625AD0">
            <w:pPr>
              <w:rPr>
                <w:b/>
              </w:rPr>
            </w:pPr>
            <w:r w:rsidRPr="00D36E64">
              <w:rPr>
                <w:b/>
              </w:rPr>
              <w:t>Clindamycin i.v.</w:t>
            </w:r>
          </w:p>
          <w:p w:rsidR="00625AD0" w:rsidRPr="00B31CDD" w:rsidRDefault="00625AD0" w:rsidP="00625AD0">
            <w:r w:rsidRPr="00B31CDD">
              <w:t>&lt;80 kg: 600 mg</w:t>
            </w:r>
          </w:p>
          <w:p w:rsidR="00625AD0" w:rsidRPr="00625AD0" w:rsidRDefault="00625AD0" w:rsidP="00C34A34">
            <w:r w:rsidRPr="00B31CDD">
              <w:t>&gt;80 kg: 900 mg</w:t>
            </w:r>
          </w:p>
        </w:tc>
      </w:tr>
      <w:tr w:rsidR="00625AD0" w:rsidTr="00625AD0">
        <w:tc>
          <w:tcPr>
            <w:tcW w:w="2711" w:type="dxa"/>
          </w:tcPr>
          <w:p w:rsidR="00625AD0" w:rsidRPr="004374C7" w:rsidRDefault="00625AD0" w:rsidP="00C34A34">
            <w:pPr>
              <w:rPr>
                <w:b/>
              </w:rPr>
            </w:pPr>
            <w:r w:rsidRPr="004374C7">
              <w:rPr>
                <w:b/>
              </w:rPr>
              <w:t>Alle Osteosynthesem</w:t>
            </w:r>
            <w:r w:rsidRPr="004374C7">
              <w:rPr>
                <w:b/>
              </w:rPr>
              <w:t>a</w:t>
            </w:r>
            <w:r w:rsidRPr="004374C7">
              <w:rPr>
                <w:b/>
              </w:rPr>
              <w:t xml:space="preserve">terial-Entfernungen </w:t>
            </w:r>
            <w:r w:rsidRPr="00130C30">
              <w:t>(OSME)</w:t>
            </w:r>
          </w:p>
        </w:tc>
        <w:tc>
          <w:tcPr>
            <w:tcW w:w="2955" w:type="dxa"/>
          </w:tcPr>
          <w:p w:rsidR="00625AD0" w:rsidRPr="00D36E64" w:rsidRDefault="00625AD0" w:rsidP="00C34A34">
            <w:pPr>
              <w:rPr>
                <w:b/>
              </w:rPr>
            </w:pPr>
            <w:r>
              <w:t>Keine Prophylaxe</w:t>
            </w:r>
          </w:p>
        </w:tc>
        <w:tc>
          <w:tcPr>
            <w:tcW w:w="2784" w:type="dxa"/>
          </w:tcPr>
          <w:p w:rsidR="00625AD0" w:rsidRPr="00D36E64" w:rsidRDefault="00625AD0" w:rsidP="00C34A34">
            <w:pPr>
              <w:rPr>
                <w:b/>
              </w:rPr>
            </w:pPr>
          </w:p>
        </w:tc>
      </w:tr>
      <w:tr w:rsidR="00625AD0" w:rsidTr="00625AD0">
        <w:tc>
          <w:tcPr>
            <w:tcW w:w="2711" w:type="dxa"/>
          </w:tcPr>
          <w:p w:rsidR="00625AD0" w:rsidRPr="00625AD0" w:rsidRDefault="00625AD0" w:rsidP="00C34A34">
            <w:pPr>
              <w:rPr>
                <w:b/>
              </w:rPr>
            </w:pPr>
            <w:r w:rsidRPr="00625AD0">
              <w:rPr>
                <w:b/>
              </w:rPr>
              <w:t>Partielle OSME</w:t>
            </w:r>
          </w:p>
        </w:tc>
        <w:tc>
          <w:tcPr>
            <w:tcW w:w="2955" w:type="dxa"/>
          </w:tcPr>
          <w:p w:rsidR="00625AD0" w:rsidRPr="00D36E64" w:rsidRDefault="00625AD0" w:rsidP="00365C11">
            <w:pPr>
              <w:rPr>
                <w:b/>
              </w:rPr>
            </w:pPr>
            <w:r w:rsidRPr="00D36E64">
              <w:rPr>
                <w:b/>
              </w:rPr>
              <w:t>Cefazolin i.v.</w:t>
            </w:r>
          </w:p>
          <w:p w:rsidR="00625AD0" w:rsidRDefault="00625AD0" w:rsidP="00365C11">
            <w:r>
              <w:t>&lt;120 kg: 2 g</w:t>
            </w:r>
          </w:p>
          <w:p w:rsidR="00625AD0" w:rsidRDefault="00625AD0" w:rsidP="00365C11">
            <w:r>
              <w:t>&gt;120 kg: 3 g</w:t>
            </w:r>
          </w:p>
          <w:p w:rsidR="00625AD0" w:rsidRDefault="00625AD0" w:rsidP="00365C11"/>
          <w:p w:rsidR="00625AD0" w:rsidRDefault="00625AD0" w:rsidP="00365C11"/>
        </w:tc>
        <w:tc>
          <w:tcPr>
            <w:tcW w:w="2784" w:type="dxa"/>
          </w:tcPr>
          <w:p w:rsidR="00625AD0" w:rsidRDefault="00625AD0" w:rsidP="00625AD0">
            <w:pPr>
              <w:rPr>
                <w:b/>
              </w:rPr>
            </w:pPr>
            <w:r w:rsidRPr="00D36E64">
              <w:rPr>
                <w:b/>
              </w:rPr>
              <w:t xml:space="preserve">Vancomycin </w:t>
            </w:r>
          </w:p>
          <w:p w:rsidR="00625AD0" w:rsidRDefault="00625AD0" w:rsidP="00625AD0">
            <w:r w:rsidRPr="00B31CDD">
              <w:t xml:space="preserve">20 mg/kg KG </w:t>
            </w:r>
          </w:p>
          <w:p w:rsidR="00625AD0" w:rsidRDefault="00625AD0" w:rsidP="00625AD0">
            <w:r w:rsidRPr="00B31CDD">
              <w:t>(max. 3000 mg)</w:t>
            </w:r>
          </w:p>
          <w:p w:rsidR="00625AD0" w:rsidRPr="00B31CDD" w:rsidRDefault="00625AD0" w:rsidP="00625AD0"/>
          <w:p w:rsidR="00625AD0" w:rsidRPr="00B31CDD" w:rsidRDefault="00625AD0" w:rsidP="00625AD0">
            <w:r w:rsidRPr="00B31CDD">
              <w:t>Alternative</w:t>
            </w:r>
            <w:r>
              <w:t>:</w:t>
            </w:r>
          </w:p>
          <w:p w:rsidR="00625AD0" w:rsidRPr="00D36E64" w:rsidRDefault="00625AD0" w:rsidP="00625AD0">
            <w:pPr>
              <w:rPr>
                <w:b/>
              </w:rPr>
            </w:pPr>
            <w:r w:rsidRPr="00D36E64">
              <w:rPr>
                <w:b/>
              </w:rPr>
              <w:t>Clindamycin i.v.</w:t>
            </w:r>
          </w:p>
          <w:p w:rsidR="00625AD0" w:rsidRPr="00B31CDD" w:rsidRDefault="00625AD0" w:rsidP="00625AD0">
            <w:r w:rsidRPr="00B31CDD">
              <w:t>&lt;80 kg: 600 mg</w:t>
            </w:r>
          </w:p>
          <w:p w:rsidR="00625AD0" w:rsidRDefault="00625AD0" w:rsidP="00C34A34">
            <w:r w:rsidRPr="00B31CDD">
              <w:t>&gt;80 kg: 900 mg</w:t>
            </w:r>
          </w:p>
        </w:tc>
      </w:tr>
      <w:tr w:rsidR="00625AD0" w:rsidTr="00625AD0">
        <w:tc>
          <w:tcPr>
            <w:tcW w:w="2711" w:type="dxa"/>
          </w:tcPr>
          <w:p w:rsidR="00625AD0" w:rsidRPr="004374C7" w:rsidRDefault="00625AD0" w:rsidP="00C34A34">
            <w:pPr>
              <w:rPr>
                <w:b/>
              </w:rPr>
            </w:pPr>
            <w:r w:rsidRPr="004374C7">
              <w:rPr>
                <w:b/>
              </w:rPr>
              <w:t>Offene Frakturen</w:t>
            </w:r>
          </w:p>
        </w:tc>
        <w:tc>
          <w:tcPr>
            <w:tcW w:w="2955" w:type="dxa"/>
          </w:tcPr>
          <w:p w:rsidR="00625AD0" w:rsidRDefault="00625AD0" w:rsidP="00C34A34"/>
        </w:tc>
        <w:tc>
          <w:tcPr>
            <w:tcW w:w="2784" w:type="dxa"/>
          </w:tcPr>
          <w:p w:rsidR="00625AD0" w:rsidRDefault="00625AD0" w:rsidP="00C34A34"/>
        </w:tc>
      </w:tr>
      <w:tr w:rsidR="00625AD0" w:rsidTr="00625AD0">
        <w:tc>
          <w:tcPr>
            <w:tcW w:w="2711" w:type="dxa"/>
          </w:tcPr>
          <w:p w:rsidR="00625AD0" w:rsidRPr="004374C7" w:rsidRDefault="00625AD0" w:rsidP="00C34A34">
            <w:pPr>
              <w:rPr>
                <w:b/>
              </w:rPr>
            </w:pPr>
            <w:r w:rsidRPr="004374C7">
              <w:rPr>
                <w:b/>
              </w:rPr>
              <w:t>Gustilo Grad I/II</w:t>
            </w:r>
          </w:p>
        </w:tc>
        <w:tc>
          <w:tcPr>
            <w:tcW w:w="2955" w:type="dxa"/>
          </w:tcPr>
          <w:p w:rsidR="00625AD0" w:rsidRPr="00D36E64" w:rsidRDefault="00625AD0" w:rsidP="00C34A34">
            <w:pPr>
              <w:rPr>
                <w:b/>
              </w:rPr>
            </w:pPr>
            <w:r w:rsidRPr="00D36E64">
              <w:rPr>
                <w:b/>
              </w:rPr>
              <w:t>Cefazolin i.v.</w:t>
            </w:r>
          </w:p>
          <w:p w:rsidR="00625AD0" w:rsidRDefault="00625AD0" w:rsidP="00C34A34">
            <w:r>
              <w:t>&lt;120 kg: 2 g</w:t>
            </w:r>
          </w:p>
          <w:p w:rsidR="00625AD0" w:rsidRDefault="00625AD0" w:rsidP="00C34A34">
            <w:r>
              <w:t>&gt;120 kg: 3 g</w:t>
            </w:r>
          </w:p>
          <w:p w:rsidR="00625AD0" w:rsidRDefault="00625AD0" w:rsidP="00C34A34"/>
          <w:p w:rsidR="00625AD0" w:rsidRDefault="00625AD0" w:rsidP="00C34A34">
            <w:r>
              <w:t>Dauer: 8-stündlich, für 24h</w:t>
            </w:r>
          </w:p>
          <w:p w:rsidR="00625AD0" w:rsidRDefault="00625AD0" w:rsidP="00C34A34"/>
          <w:p w:rsidR="00625AD0" w:rsidRDefault="00625AD0" w:rsidP="00C34A34"/>
        </w:tc>
        <w:tc>
          <w:tcPr>
            <w:tcW w:w="2784" w:type="dxa"/>
          </w:tcPr>
          <w:p w:rsidR="00625AD0" w:rsidRDefault="00625AD0" w:rsidP="00C34A34">
            <w:pPr>
              <w:rPr>
                <w:b/>
              </w:rPr>
            </w:pPr>
            <w:r w:rsidRPr="00D36E64">
              <w:rPr>
                <w:b/>
              </w:rPr>
              <w:t xml:space="preserve">Vancomycin </w:t>
            </w:r>
          </w:p>
          <w:p w:rsidR="00625AD0" w:rsidRDefault="00625AD0" w:rsidP="00C34A34">
            <w:r w:rsidRPr="00B31CDD">
              <w:t xml:space="preserve">20 mg/kg KG </w:t>
            </w:r>
          </w:p>
          <w:p w:rsidR="00625AD0" w:rsidRDefault="00625AD0" w:rsidP="00C34A34">
            <w:r w:rsidRPr="00B31CDD">
              <w:t>(max. 3000 mg)</w:t>
            </w:r>
          </w:p>
          <w:p w:rsidR="00625AD0" w:rsidRPr="00B31CDD" w:rsidRDefault="00625AD0" w:rsidP="00C34A34"/>
          <w:p w:rsidR="00625AD0" w:rsidRPr="00B31CDD" w:rsidRDefault="00625AD0" w:rsidP="00C34A34">
            <w:r w:rsidRPr="00B31CDD">
              <w:t>Alternative</w:t>
            </w:r>
            <w:r>
              <w:t>:</w:t>
            </w:r>
          </w:p>
          <w:p w:rsidR="00625AD0" w:rsidRPr="00D36E64" w:rsidRDefault="00625AD0" w:rsidP="00C34A34">
            <w:pPr>
              <w:rPr>
                <w:b/>
              </w:rPr>
            </w:pPr>
            <w:r w:rsidRPr="00D36E64">
              <w:rPr>
                <w:b/>
              </w:rPr>
              <w:t>Clindamycin i.v.</w:t>
            </w:r>
          </w:p>
          <w:p w:rsidR="00625AD0" w:rsidRPr="00B31CDD" w:rsidRDefault="00625AD0" w:rsidP="00C34A34">
            <w:r w:rsidRPr="00B31CDD">
              <w:t>&lt;80 kg: 600 mg</w:t>
            </w:r>
          </w:p>
          <w:p w:rsidR="00625AD0" w:rsidRDefault="00625AD0" w:rsidP="00C34A34">
            <w:r w:rsidRPr="00B31CDD">
              <w:t>&gt;80 kg: 900 mg</w:t>
            </w:r>
          </w:p>
          <w:p w:rsidR="00625AD0" w:rsidRDefault="00625AD0" w:rsidP="00C34A34"/>
          <w:p w:rsidR="00625AD0" w:rsidRDefault="00625AD0" w:rsidP="00C34A34"/>
        </w:tc>
      </w:tr>
      <w:tr w:rsidR="00625AD0" w:rsidTr="00625AD0">
        <w:tc>
          <w:tcPr>
            <w:tcW w:w="2711" w:type="dxa"/>
          </w:tcPr>
          <w:p w:rsidR="00625AD0" w:rsidRPr="004374C7" w:rsidRDefault="00625AD0" w:rsidP="00C34A34">
            <w:pPr>
              <w:rPr>
                <w:b/>
              </w:rPr>
            </w:pPr>
            <w:r w:rsidRPr="004374C7">
              <w:rPr>
                <w:b/>
              </w:rPr>
              <w:t>Gustilo Grad III</w:t>
            </w:r>
          </w:p>
          <w:p w:rsidR="00625AD0" w:rsidRPr="004374C7" w:rsidRDefault="00625AD0" w:rsidP="00C34A34">
            <w:pPr>
              <w:rPr>
                <w:b/>
              </w:rPr>
            </w:pPr>
          </w:p>
          <w:p w:rsidR="00625AD0" w:rsidRPr="004374C7" w:rsidRDefault="00625AD0" w:rsidP="00C34A34">
            <w:pPr>
              <w:rPr>
                <w:b/>
              </w:rPr>
            </w:pPr>
          </w:p>
          <w:p w:rsidR="00625AD0" w:rsidRPr="00C803E2" w:rsidRDefault="00625AD0" w:rsidP="00C34A34">
            <w:r w:rsidRPr="00C803E2">
              <w:t>Infektiologisches Konsil</w:t>
            </w:r>
            <w:r w:rsidRPr="00C803E2">
              <w:t>i</w:t>
            </w:r>
            <w:r w:rsidRPr="00C803E2">
              <w:t>um erwägen</w:t>
            </w:r>
          </w:p>
        </w:tc>
        <w:tc>
          <w:tcPr>
            <w:tcW w:w="2955" w:type="dxa"/>
          </w:tcPr>
          <w:p w:rsidR="00625AD0" w:rsidRDefault="00625AD0" w:rsidP="00C34A34">
            <w:r w:rsidRPr="004374C7">
              <w:rPr>
                <w:b/>
              </w:rPr>
              <w:t>Amoxicillin/Clavulansäure 2.2g</w:t>
            </w:r>
            <w:r>
              <w:t xml:space="preserve"> 8-stündlich, für 72h</w:t>
            </w:r>
          </w:p>
        </w:tc>
        <w:tc>
          <w:tcPr>
            <w:tcW w:w="2784" w:type="dxa"/>
          </w:tcPr>
          <w:p w:rsidR="00625AD0" w:rsidRDefault="00625AD0" w:rsidP="00C34A34">
            <w:pPr>
              <w:rPr>
                <w:b/>
              </w:rPr>
            </w:pPr>
            <w:r w:rsidRPr="00D36E64">
              <w:rPr>
                <w:b/>
              </w:rPr>
              <w:t xml:space="preserve">Vancomycin </w:t>
            </w:r>
          </w:p>
          <w:p w:rsidR="00625AD0" w:rsidRDefault="00625AD0" w:rsidP="00C34A34">
            <w:r w:rsidRPr="00B31CDD">
              <w:t xml:space="preserve">20 mg/kg KG </w:t>
            </w:r>
          </w:p>
          <w:p w:rsidR="00625AD0" w:rsidRDefault="00625AD0" w:rsidP="00C34A34">
            <w:r w:rsidRPr="00B31CDD">
              <w:t>(max. 3000 mg)</w:t>
            </w:r>
          </w:p>
          <w:p w:rsidR="00625AD0" w:rsidRDefault="00625AD0" w:rsidP="00C34A34">
            <w:r>
              <w:t xml:space="preserve">Plus </w:t>
            </w:r>
          </w:p>
          <w:p w:rsidR="00625AD0" w:rsidRDefault="00625AD0" w:rsidP="00C34A34">
            <w:r w:rsidRPr="004374C7">
              <w:rPr>
                <w:b/>
              </w:rPr>
              <w:t>Ciprofloxacin 500mg i.v./p.o</w:t>
            </w:r>
            <w:r>
              <w:t xml:space="preserve"> 12-stündlich</w:t>
            </w:r>
          </w:p>
          <w:p w:rsidR="00625AD0" w:rsidRPr="00B31CDD" w:rsidRDefault="00625AD0" w:rsidP="00C34A34"/>
          <w:p w:rsidR="00625AD0" w:rsidRPr="00B31CDD" w:rsidRDefault="00625AD0" w:rsidP="00C34A34">
            <w:r w:rsidRPr="00B31CDD">
              <w:t>Alternative</w:t>
            </w:r>
            <w:r>
              <w:t>:</w:t>
            </w:r>
          </w:p>
          <w:p w:rsidR="00625AD0" w:rsidRPr="00D36E64" w:rsidRDefault="00625AD0" w:rsidP="00C34A34">
            <w:pPr>
              <w:rPr>
                <w:b/>
              </w:rPr>
            </w:pPr>
            <w:r w:rsidRPr="00D36E64">
              <w:rPr>
                <w:b/>
              </w:rPr>
              <w:t>Clindamycin i.v.</w:t>
            </w:r>
          </w:p>
          <w:p w:rsidR="00625AD0" w:rsidRPr="00B31CDD" w:rsidRDefault="00625AD0" w:rsidP="00C34A34">
            <w:r w:rsidRPr="00B31CDD">
              <w:t>&lt;80 kg: 600 mg</w:t>
            </w:r>
          </w:p>
          <w:p w:rsidR="00625AD0" w:rsidRDefault="00625AD0" w:rsidP="00C34A34">
            <w:r w:rsidRPr="00B31CDD">
              <w:t>&gt;80 kg: 900 mg</w:t>
            </w:r>
          </w:p>
          <w:p w:rsidR="00625AD0" w:rsidRDefault="00625AD0" w:rsidP="00C34A34">
            <w:r>
              <w:t>Plus</w:t>
            </w:r>
          </w:p>
          <w:p w:rsidR="00625AD0" w:rsidRDefault="00625AD0" w:rsidP="00C34A34">
            <w:r w:rsidRPr="004374C7">
              <w:rPr>
                <w:b/>
              </w:rPr>
              <w:t>Ciprofloxacin 500mg i.v./p.o</w:t>
            </w:r>
            <w:r>
              <w:t xml:space="preserve"> 12-stündlich</w:t>
            </w:r>
          </w:p>
          <w:p w:rsidR="00625AD0" w:rsidRDefault="00625AD0" w:rsidP="00C34A34"/>
          <w:p w:rsidR="00625AD0" w:rsidRDefault="00625AD0" w:rsidP="00C34A34"/>
          <w:p w:rsidR="00625AD0" w:rsidRDefault="00625AD0" w:rsidP="00C34A34"/>
        </w:tc>
      </w:tr>
    </w:tbl>
    <w:p w:rsidR="0045536B" w:rsidRPr="005F6B8C" w:rsidRDefault="0045536B" w:rsidP="0045536B">
      <w:pPr>
        <w:rPr>
          <w:u w:val="single"/>
        </w:rPr>
      </w:pPr>
    </w:p>
    <w:p w:rsidR="0045536B" w:rsidRDefault="0045536B" w:rsidP="0045536B">
      <w:r>
        <w:tab/>
      </w:r>
      <w:r>
        <w:tab/>
      </w:r>
    </w:p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Pr="0049606D" w:rsidRDefault="0045536B" w:rsidP="004553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49606D">
        <w:rPr>
          <w:b/>
          <w:sz w:val="28"/>
          <w:szCs w:val="28"/>
        </w:rPr>
        <w:t>Herz</w:t>
      </w:r>
      <w:r w:rsidR="00EF3A29">
        <w:rPr>
          <w:b/>
          <w:sz w:val="28"/>
          <w:szCs w:val="28"/>
        </w:rPr>
        <w:t>chirurgie</w:t>
      </w:r>
    </w:p>
    <w:p w:rsidR="0045536B" w:rsidRDefault="0045536B" w:rsidP="0045536B"/>
    <w:tbl>
      <w:tblPr>
        <w:tblStyle w:val="TabellenrasterLUKS1"/>
        <w:tblW w:w="0" w:type="auto"/>
        <w:tblLook w:val="04A0" w:firstRow="1" w:lastRow="0" w:firstColumn="1" w:lastColumn="0" w:noHBand="0" w:noVBand="1"/>
      </w:tblPr>
      <w:tblGrid>
        <w:gridCol w:w="2419"/>
        <w:gridCol w:w="2955"/>
        <w:gridCol w:w="2784"/>
      </w:tblGrid>
      <w:tr w:rsidR="0045536B" w:rsidTr="00C34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9" w:type="dxa"/>
            <w:shd w:val="clear" w:color="auto" w:fill="C5DCF3" w:themeFill="accent4" w:themeFillTint="33"/>
          </w:tcPr>
          <w:p w:rsidR="0045536B" w:rsidRPr="00D36E64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Eingriff</w:t>
            </w:r>
          </w:p>
        </w:tc>
        <w:tc>
          <w:tcPr>
            <w:tcW w:w="2955" w:type="dxa"/>
            <w:shd w:val="clear" w:color="auto" w:fill="C5DCF3" w:themeFill="accent4" w:themeFillTint="33"/>
          </w:tcPr>
          <w:p w:rsidR="0045536B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Empfehlung</w:t>
            </w:r>
            <w:r>
              <w:rPr>
                <w:color w:val="auto"/>
              </w:rPr>
              <w:t xml:space="preserve"> </w:t>
            </w:r>
          </w:p>
          <w:p w:rsidR="0045536B" w:rsidRPr="008D0D2E" w:rsidRDefault="0045536B" w:rsidP="00C34A34">
            <w:pPr>
              <w:rPr>
                <w:b w:val="0"/>
                <w:color w:val="auto"/>
              </w:rPr>
            </w:pPr>
            <w:r w:rsidRPr="008D0D2E">
              <w:rPr>
                <w:b w:val="0"/>
                <w:color w:val="auto"/>
              </w:rPr>
              <w:t>(</w:t>
            </w:r>
            <w:r>
              <w:rPr>
                <w:b w:val="0"/>
                <w:color w:val="auto"/>
              </w:rPr>
              <w:t>gilt auch bei "Allergie"-Anamnese</w:t>
            </w:r>
            <w:r w:rsidRPr="008D0D2E">
              <w:rPr>
                <w:b w:val="0"/>
                <w:color w:val="auto"/>
              </w:rPr>
              <w:t xml:space="preserve"> mit makulop</w:t>
            </w:r>
            <w:r w:rsidRPr="008D0D2E">
              <w:rPr>
                <w:b w:val="0"/>
                <w:color w:val="auto"/>
              </w:rPr>
              <w:t>a</w:t>
            </w:r>
            <w:r w:rsidRPr="008D0D2E">
              <w:rPr>
                <w:b w:val="0"/>
                <w:color w:val="auto"/>
              </w:rPr>
              <w:t>pulösem Exanthem unter Penicillin</w:t>
            </w:r>
            <w:r>
              <w:rPr>
                <w:b w:val="0"/>
                <w:color w:val="auto"/>
              </w:rPr>
              <w:t>-</w:t>
            </w:r>
            <w:r w:rsidRPr="008D0D2E">
              <w:rPr>
                <w:b w:val="0"/>
                <w:color w:val="auto"/>
              </w:rPr>
              <w:t xml:space="preserve"> und anderen B</w:t>
            </w:r>
            <w:r w:rsidRPr="008D0D2E">
              <w:rPr>
                <w:b w:val="0"/>
                <w:color w:val="auto"/>
              </w:rPr>
              <w:t>e</w:t>
            </w:r>
            <w:r w:rsidRPr="008D0D2E">
              <w:rPr>
                <w:b w:val="0"/>
                <w:color w:val="auto"/>
              </w:rPr>
              <w:t>talaktam-Antibiotika)</w:t>
            </w:r>
          </w:p>
        </w:tc>
        <w:tc>
          <w:tcPr>
            <w:tcW w:w="2784" w:type="dxa"/>
            <w:shd w:val="clear" w:color="auto" w:fill="C5DCF3" w:themeFill="accent4" w:themeFillTint="33"/>
          </w:tcPr>
          <w:p w:rsidR="0045536B" w:rsidRPr="00997D59" w:rsidRDefault="0045536B" w:rsidP="00C34A34">
            <w:pPr>
              <w:rPr>
                <w:color w:val="auto"/>
              </w:rPr>
            </w:pPr>
            <w:r w:rsidRPr="00997D59">
              <w:rPr>
                <w:color w:val="auto"/>
              </w:rPr>
              <w:t xml:space="preserve">Alternative </w:t>
            </w:r>
          </w:p>
          <w:p w:rsidR="0045536B" w:rsidRPr="00D36E64" w:rsidRDefault="0045536B" w:rsidP="00C34A34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997D59">
              <w:rPr>
                <w:b w:val="0"/>
                <w:color w:val="auto"/>
              </w:rPr>
              <w:t>bei Anaphylaxie, Bro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chospasmus, Lyell-Syndrom oder Hyperse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sitivitätssyndrom nach Penicillin</w:t>
            </w:r>
            <w:r>
              <w:rPr>
                <w:b w:val="0"/>
                <w:color w:val="auto"/>
              </w:rPr>
              <w:t>-</w:t>
            </w:r>
            <w:r w:rsidRPr="00997D59">
              <w:rPr>
                <w:b w:val="0"/>
                <w:color w:val="auto"/>
              </w:rPr>
              <w:t xml:space="preserve"> oder anderen Be</w:t>
            </w:r>
            <w:r>
              <w:rPr>
                <w:b w:val="0"/>
                <w:color w:val="auto"/>
              </w:rPr>
              <w:t>talaktam-Antibiotikum in der Vorgeschichte)</w:t>
            </w:r>
          </w:p>
        </w:tc>
      </w:tr>
      <w:tr w:rsidR="0077065D" w:rsidTr="00C34A34">
        <w:tc>
          <w:tcPr>
            <w:tcW w:w="2419" w:type="dxa"/>
          </w:tcPr>
          <w:p w:rsidR="0077065D" w:rsidRPr="0049606D" w:rsidRDefault="0077065D" w:rsidP="00C34A34">
            <w:pPr>
              <w:rPr>
                <w:b/>
              </w:rPr>
            </w:pPr>
            <w:r w:rsidRPr="0049606D">
              <w:rPr>
                <w:b/>
              </w:rPr>
              <w:t>Alle kardiochirurg</w:t>
            </w:r>
            <w:r w:rsidRPr="0049606D">
              <w:rPr>
                <w:b/>
              </w:rPr>
              <w:t>i</w:t>
            </w:r>
            <w:r w:rsidRPr="0049606D">
              <w:rPr>
                <w:b/>
              </w:rPr>
              <w:t>schen OP</w:t>
            </w:r>
          </w:p>
        </w:tc>
        <w:tc>
          <w:tcPr>
            <w:tcW w:w="2955" w:type="dxa"/>
          </w:tcPr>
          <w:p w:rsidR="0077065D" w:rsidRPr="00D36E64" w:rsidRDefault="0077065D" w:rsidP="00365C11">
            <w:pPr>
              <w:rPr>
                <w:b/>
              </w:rPr>
            </w:pPr>
            <w:r w:rsidRPr="00D36E64">
              <w:rPr>
                <w:b/>
              </w:rPr>
              <w:t>Cefazolin i.v.</w:t>
            </w:r>
            <w:r>
              <w:rPr>
                <w:b/>
              </w:rPr>
              <w:t xml:space="preserve"> 6-stündlich über 24 h, total 4 Dosen</w:t>
            </w:r>
          </w:p>
          <w:p w:rsidR="0077065D" w:rsidRDefault="0077065D" w:rsidP="00365C11">
            <w:r>
              <w:t>&lt;120 kg: 2 g</w:t>
            </w:r>
          </w:p>
          <w:p w:rsidR="0077065D" w:rsidRDefault="0077065D" w:rsidP="00365C11">
            <w:r>
              <w:t>&gt;120 kg: 3 g</w:t>
            </w:r>
          </w:p>
          <w:p w:rsidR="0077065D" w:rsidRDefault="0077065D" w:rsidP="00365C11"/>
          <w:p w:rsidR="0077065D" w:rsidRDefault="0077065D" w:rsidP="00365C11"/>
        </w:tc>
        <w:tc>
          <w:tcPr>
            <w:tcW w:w="2784" w:type="dxa"/>
          </w:tcPr>
          <w:p w:rsidR="0077065D" w:rsidRPr="0077065D" w:rsidRDefault="0077065D" w:rsidP="00C34A34">
            <w:pPr>
              <w:rPr>
                <w:b/>
              </w:rPr>
            </w:pPr>
            <w:r w:rsidRPr="0077065D">
              <w:rPr>
                <w:b/>
              </w:rPr>
              <w:t>Vancomycin i.v. 12-stündlich, total 2 Dosen</w:t>
            </w:r>
          </w:p>
          <w:p w:rsidR="0077065D" w:rsidRDefault="0077065D" w:rsidP="00C34A34">
            <w:r w:rsidRPr="00B31CDD">
              <w:t xml:space="preserve">20 mg/kg KG </w:t>
            </w:r>
          </w:p>
          <w:p w:rsidR="0077065D" w:rsidRDefault="0077065D" w:rsidP="00C34A34">
            <w:r w:rsidRPr="00B31CDD">
              <w:t>(max. 3000 mg)</w:t>
            </w:r>
          </w:p>
          <w:p w:rsidR="0077065D" w:rsidRDefault="0077065D" w:rsidP="00C34A34"/>
          <w:p w:rsidR="0077065D" w:rsidRPr="00B31CDD" w:rsidRDefault="0077065D" w:rsidP="00C34A34">
            <w:r w:rsidRPr="00B31CDD">
              <w:t>Alternative</w:t>
            </w:r>
            <w:r>
              <w:t>:</w:t>
            </w:r>
          </w:p>
          <w:p w:rsidR="0077065D" w:rsidRPr="00B31CDD" w:rsidRDefault="0077065D" w:rsidP="00C34A34">
            <w:r w:rsidRPr="0049606D">
              <w:rPr>
                <w:b/>
              </w:rPr>
              <w:t>Clindamycin</w:t>
            </w:r>
            <w:r w:rsidRPr="00B31CDD">
              <w:t xml:space="preserve"> </w:t>
            </w:r>
            <w:r w:rsidRPr="0049606D">
              <w:rPr>
                <w:b/>
              </w:rPr>
              <w:t>i.v</w:t>
            </w:r>
            <w:r w:rsidRPr="00B31CDD">
              <w:t>.</w:t>
            </w:r>
          </w:p>
          <w:p w:rsidR="0077065D" w:rsidRPr="00B31CDD" w:rsidRDefault="0077065D" w:rsidP="00C34A34">
            <w:r w:rsidRPr="00B31CDD">
              <w:t>&lt;80 kg: 600 mg</w:t>
            </w:r>
          </w:p>
          <w:p w:rsidR="0077065D" w:rsidRDefault="0077065D" w:rsidP="00C34A34">
            <w:r w:rsidRPr="00B31CDD">
              <w:t>&gt;80 kg: 900 mg</w:t>
            </w:r>
          </w:p>
          <w:p w:rsidR="0077065D" w:rsidRPr="00B31CDD" w:rsidRDefault="0077065D" w:rsidP="00C34A34"/>
        </w:tc>
      </w:tr>
      <w:tr w:rsidR="0077065D" w:rsidTr="00C34A34">
        <w:tc>
          <w:tcPr>
            <w:tcW w:w="2419" w:type="dxa"/>
          </w:tcPr>
          <w:p w:rsidR="0077065D" w:rsidRPr="0049606D" w:rsidRDefault="0077065D" w:rsidP="00C34A34">
            <w:pPr>
              <w:rPr>
                <w:b/>
              </w:rPr>
            </w:pPr>
            <w:r w:rsidRPr="0049606D">
              <w:rPr>
                <w:b/>
              </w:rPr>
              <w:t>TAVI und TA-TAVI</w:t>
            </w:r>
          </w:p>
        </w:tc>
        <w:tc>
          <w:tcPr>
            <w:tcW w:w="2955" w:type="dxa"/>
          </w:tcPr>
          <w:p w:rsidR="0077065D" w:rsidRDefault="0077065D" w:rsidP="00C34A34">
            <w:r>
              <w:rPr>
                <w:b/>
              </w:rPr>
              <w:t>Amoxicillin/Clavulansäure i.v.</w:t>
            </w:r>
            <w:r>
              <w:t xml:space="preserve"> 2.2 g</w:t>
            </w:r>
          </w:p>
        </w:tc>
        <w:tc>
          <w:tcPr>
            <w:tcW w:w="2784" w:type="dxa"/>
          </w:tcPr>
          <w:p w:rsidR="0077065D" w:rsidRPr="003A2755" w:rsidRDefault="0077065D" w:rsidP="00C34A34">
            <w:pPr>
              <w:rPr>
                <w:b/>
              </w:rPr>
            </w:pPr>
            <w:r w:rsidRPr="003A2755">
              <w:rPr>
                <w:b/>
              </w:rPr>
              <w:t xml:space="preserve">Vancomycin </w:t>
            </w:r>
          </w:p>
          <w:p w:rsidR="0077065D" w:rsidRPr="003A2755" w:rsidRDefault="0077065D" w:rsidP="00C34A34">
            <w:pPr>
              <w:rPr>
                <w:b/>
              </w:rPr>
            </w:pPr>
            <w:r w:rsidRPr="003A2755">
              <w:rPr>
                <w:b/>
              </w:rPr>
              <w:t xml:space="preserve">20 mg/kg KG </w:t>
            </w:r>
          </w:p>
          <w:p w:rsidR="0077065D" w:rsidRPr="004374C7" w:rsidRDefault="0077065D" w:rsidP="00C34A34">
            <w:r w:rsidRPr="004374C7">
              <w:t>(max. 3000 mg)</w:t>
            </w:r>
          </w:p>
          <w:p w:rsidR="0077065D" w:rsidRPr="003A2755" w:rsidRDefault="0077065D" w:rsidP="00C34A34">
            <w:pPr>
              <w:rPr>
                <w:b/>
              </w:rPr>
            </w:pPr>
          </w:p>
          <w:p w:rsidR="0077065D" w:rsidRPr="004374C7" w:rsidRDefault="0077065D" w:rsidP="00C34A34">
            <w:r w:rsidRPr="004374C7">
              <w:t>Alternative:</w:t>
            </w:r>
          </w:p>
          <w:p w:rsidR="0077065D" w:rsidRPr="003A2755" w:rsidRDefault="0077065D" w:rsidP="00C34A34">
            <w:pPr>
              <w:rPr>
                <w:b/>
              </w:rPr>
            </w:pPr>
            <w:r w:rsidRPr="003A2755">
              <w:rPr>
                <w:b/>
              </w:rPr>
              <w:t>Clindamycin i.v.</w:t>
            </w:r>
          </w:p>
          <w:p w:rsidR="0077065D" w:rsidRPr="004374C7" w:rsidRDefault="0077065D" w:rsidP="00C34A34">
            <w:r w:rsidRPr="004374C7">
              <w:t>&lt;80 kg: 600 mg</w:t>
            </w:r>
          </w:p>
          <w:p w:rsidR="0077065D" w:rsidRPr="004374C7" w:rsidRDefault="0077065D" w:rsidP="00C34A34">
            <w:r w:rsidRPr="004374C7">
              <w:t>&gt;80 kg: 900 mg</w:t>
            </w:r>
          </w:p>
          <w:p w:rsidR="0077065D" w:rsidRPr="003A2755" w:rsidRDefault="0077065D" w:rsidP="00C34A34">
            <w:pPr>
              <w:rPr>
                <w:b/>
              </w:rPr>
            </w:pPr>
          </w:p>
          <w:p w:rsidR="0077065D" w:rsidRPr="003A2755" w:rsidRDefault="0077065D" w:rsidP="00C34A34">
            <w:pPr>
              <w:rPr>
                <w:b/>
              </w:rPr>
            </w:pPr>
          </w:p>
        </w:tc>
      </w:tr>
    </w:tbl>
    <w:p w:rsidR="00EF3A29" w:rsidRDefault="00EF3A29" w:rsidP="0045536B">
      <w:pPr>
        <w:rPr>
          <w:b/>
          <w:sz w:val="28"/>
          <w:szCs w:val="28"/>
        </w:rPr>
      </w:pPr>
    </w:p>
    <w:p w:rsidR="00EF3A29" w:rsidRDefault="00DE7790" w:rsidP="004553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EF3A29">
        <w:rPr>
          <w:b/>
          <w:sz w:val="28"/>
          <w:szCs w:val="28"/>
        </w:rPr>
        <w:t>Thoraxchirurgie</w:t>
      </w:r>
    </w:p>
    <w:p w:rsidR="00EF3A29" w:rsidRDefault="00EF3A29" w:rsidP="0045536B">
      <w:pPr>
        <w:rPr>
          <w:b/>
          <w:sz w:val="28"/>
          <w:szCs w:val="28"/>
        </w:rPr>
      </w:pPr>
    </w:p>
    <w:tbl>
      <w:tblPr>
        <w:tblStyle w:val="TabellenrasterLUKS1"/>
        <w:tblW w:w="0" w:type="auto"/>
        <w:tblLook w:val="04A0" w:firstRow="1" w:lastRow="0" w:firstColumn="1" w:lastColumn="0" w:noHBand="0" w:noVBand="1"/>
      </w:tblPr>
      <w:tblGrid>
        <w:gridCol w:w="2419"/>
        <w:gridCol w:w="2955"/>
        <w:gridCol w:w="2784"/>
      </w:tblGrid>
      <w:tr w:rsidR="00EF3A29" w:rsidTr="00365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9" w:type="dxa"/>
            <w:shd w:val="clear" w:color="auto" w:fill="C5DCF3" w:themeFill="accent4" w:themeFillTint="33"/>
          </w:tcPr>
          <w:p w:rsidR="00EF3A29" w:rsidRPr="00D36E64" w:rsidRDefault="00EF3A29" w:rsidP="00365C11">
            <w:pPr>
              <w:rPr>
                <w:color w:val="auto"/>
              </w:rPr>
            </w:pPr>
            <w:r w:rsidRPr="00D36E64">
              <w:rPr>
                <w:color w:val="auto"/>
              </w:rPr>
              <w:t>Eingriff</w:t>
            </w:r>
          </w:p>
        </w:tc>
        <w:tc>
          <w:tcPr>
            <w:tcW w:w="2955" w:type="dxa"/>
            <w:shd w:val="clear" w:color="auto" w:fill="C5DCF3" w:themeFill="accent4" w:themeFillTint="33"/>
          </w:tcPr>
          <w:p w:rsidR="00EF3A29" w:rsidRDefault="00EF3A29" w:rsidP="00365C11">
            <w:pPr>
              <w:rPr>
                <w:color w:val="auto"/>
              </w:rPr>
            </w:pPr>
            <w:r w:rsidRPr="00D36E64">
              <w:rPr>
                <w:color w:val="auto"/>
              </w:rPr>
              <w:t>Empfehlung</w:t>
            </w:r>
            <w:r>
              <w:rPr>
                <w:color w:val="auto"/>
              </w:rPr>
              <w:t xml:space="preserve"> </w:t>
            </w:r>
          </w:p>
          <w:p w:rsidR="00EF3A29" w:rsidRPr="008D0D2E" w:rsidRDefault="00EF3A29" w:rsidP="00365C11">
            <w:pPr>
              <w:rPr>
                <w:b w:val="0"/>
                <w:color w:val="auto"/>
              </w:rPr>
            </w:pPr>
            <w:r w:rsidRPr="008D0D2E">
              <w:rPr>
                <w:b w:val="0"/>
                <w:color w:val="auto"/>
              </w:rPr>
              <w:t>(</w:t>
            </w:r>
            <w:r>
              <w:rPr>
                <w:b w:val="0"/>
                <w:color w:val="auto"/>
              </w:rPr>
              <w:t>gilt auch bei "Allergie"-Anamnese</w:t>
            </w:r>
            <w:r w:rsidRPr="008D0D2E">
              <w:rPr>
                <w:b w:val="0"/>
                <w:color w:val="auto"/>
              </w:rPr>
              <w:t xml:space="preserve"> mit makulop</w:t>
            </w:r>
            <w:r w:rsidRPr="008D0D2E">
              <w:rPr>
                <w:b w:val="0"/>
                <w:color w:val="auto"/>
              </w:rPr>
              <w:t>a</w:t>
            </w:r>
            <w:r w:rsidRPr="008D0D2E">
              <w:rPr>
                <w:b w:val="0"/>
                <w:color w:val="auto"/>
              </w:rPr>
              <w:t>pulösem Exanthem unter Penicillin</w:t>
            </w:r>
            <w:r>
              <w:rPr>
                <w:b w:val="0"/>
                <w:color w:val="auto"/>
              </w:rPr>
              <w:t>-</w:t>
            </w:r>
            <w:r w:rsidRPr="008D0D2E">
              <w:rPr>
                <w:b w:val="0"/>
                <w:color w:val="auto"/>
              </w:rPr>
              <w:t xml:space="preserve"> und anderen B</w:t>
            </w:r>
            <w:r w:rsidRPr="008D0D2E">
              <w:rPr>
                <w:b w:val="0"/>
                <w:color w:val="auto"/>
              </w:rPr>
              <w:t>e</w:t>
            </w:r>
            <w:r w:rsidRPr="008D0D2E">
              <w:rPr>
                <w:b w:val="0"/>
                <w:color w:val="auto"/>
              </w:rPr>
              <w:t>talaktam-Antibiotika)</w:t>
            </w:r>
          </w:p>
        </w:tc>
        <w:tc>
          <w:tcPr>
            <w:tcW w:w="2784" w:type="dxa"/>
            <w:shd w:val="clear" w:color="auto" w:fill="C5DCF3" w:themeFill="accent4" w:themeFillTint="33"/>
          </w:tcPr>
          <w:p w:rsidR="00EF3A29" w:rsidRPr="00997D59" w:rsidRDefault="00EF3A29" w:rsidP="00365C11">
            <w:pPr>
              <w:rPr>
                <w:color w:val="auto"/>
              </w:rPr>
            </w:pPr>
            <w:r w:rsidRPr="00997D59">
              <w:rPr>
                <w:color w:val="auto"/>
              </w:rPr>
              <w:t xml:space="preserve">Alternative </w:t>
            </w:r>
          </w:p>
          <w:p w:rsidR="00EF3A29" w:rsidRPr="00D36E64" w:rsidRDefault="00EF3A29" w:rsidP="00365C11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997D59">
              <w:rPr>
                <w:b w:val="0"/>
                <w:color w:val="auto"/>
              </w:rPr>
              <w:t>bei Anaphylaxie, Bro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chospasmus, Lyell-Syndrom oder Hyperse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sitivitätssyndrom nach Penicillin</w:t>
            </w:r>
            <w:r>
              <w:rPr>
                <w:b w:val="0"/>
                <w:color w:val="auto"/>
              </w:rPr>
              <w:t>-</w:t>
            </w:r>
            <w:r w:rsidRPr="00997D59">
              <w:rPr>
                <w:b w:val="0"/>
                <w:color w:val="auto"/>
              </w:rPr>
              <w:t xml:space="preserve"> oder anderen Be</w:t>
            </w:r>
            <w:r>
              <w:rPr>
                <w:b w:val="0"/>
                <w:color w:val="auto"/>
              </w:rPr>
              <w:t>talaktam-Antibiotikum in der Vorgeschichte)</w:t>
            </w:r>
          </w:p>
        </w:tc>
      </w:tr>
      <w:tr w:rsidR="00EF3A29" w:rsidTr="00365C11">
        <w:tc>
          <w:tcPr>
            <w:tcW w:w="2419" w:type="dxa"/>
          </w:tcPr>
          <w:p w:rsidR="00EF3A29" w:rsidRPr="0049606D" w:rsidRDefault="003E5F26" w:rsidP="00365C11">
            <w:pPr>
              <w:rPr>
                <w:b/>
              </w:rPr>
            </w:pPr>
            <w:r>
              <w:rPr>
                <w:b/>
              </w:rPr>
              <w:t>Alle thoraxchirurg</w:t>
            </w:r>
            <w:r>
              <w:rPr>
                <w:b/>
              </w:rPr>
              <w:t>i</w:t>
            </w:r>
            <w:r>
              <w:rPr>
                <w:b/>
              </w:rPr>
              <w:t>schen Operationen, inkl. thorakoskop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sche Eingriffe </w:t>
            </w:r>
          </w:p>
        </w:tc>
        <w:tc>
          <w:tcPr>
            <w:tcW w:w="2955" w:type="dxa"/>
          </w:tcPr>
          <w:p w:rsidR="00EF3A29" w:rsidRDefault="00EF3A29" w:rsidP="00365C11">
            <w:r w:rsidRPr="0049606D">
              <w:rPr>
                <w:b/>
              </w:rPr>
              <w:t>Cefazolin i.v</w:t>
            </w:r>
            <w:r>
              <w:t>.</w:t>
            </w:r>
          </w:p>
          <w:p w:rsidR="00EF3A29" w:rsidRDefault="00EF3A29" w:rsidP="00365C11">
            <w:r>
              <w:t>&lt;120 kg: 2 g</w:t>
            </w:r>
          </w:p>
          <w:p w:rsidR="00EF3A29" w:rsidRDefault="00EF3A29" w:rsidP="00365C11">
            <w:r>
              <w:t>&gt;120 kg: 3 g</w:t>
            </w:r>
          </w:p>
          <w:p w:rsidR="00EF3A29" w:rsidRDefault="00EF3A29" w:rsidP="00365C11"/>
        </w:tc>
        <w:tc>
          <w:tcPr>
            <w:tcW w:w="2784" w:type="dxa"/>
          </w:tcPr>
          <w:p w:rsidR="00EF3A29" w:rsidRDefault="00EF3A29" w:rsidP="00365C11">
            <w:r w:rsidRPr="0049606D">
              <w:rPr>
                <w:b/>
              </w:rPr>
              <w:t>Vancomycin</w:t>
            </w:r>
            <w:r w:rsidRPr="00B31CDD">
              <w:t xml:space="preserve"> </w:t>
            </w:r>
          </w:p>
          <w:p w:rsidR="00EF3A29" w:rsidRDefault="00EF3A29" w:rsidP="00365C11">
            <w:r w:rsidRPr="00B31CDD">
              <w:t xml:space="preserve">20 mg/kg KG </w:t>
            </w:r>
          </w:p>
          <w:p w:rsidR="00EF3A29" w:rsidRDefault="00EF3A29" w:rsidP="00365C11">
            <w:r w:rsidRPr="00B31CDD">
              <w:t>(max. 3000 mg)</w:t>
            </w:r>
          </w:p>
          <w:p w:rsidR="00EF3A29" w:rsidRPr="00B31CDD" w:rsidRDefault="00EF3A29" w:rsidP="00365C11"/>
          <w:p w:rsidR="00EF3A29" w:rsidRPr="00B31CDD" w:rsidRDefault="00EF3A29" w:rsidP="00365C11">
            <w:r w:rsidRPr="00B31CDD">
              <w:t>Alternative</w:t>
            </w:r>
            <w:r>
              <w:t>:</w:t>
            </w:r>
          </w:p>
          <w:p w:rsidR="00EF3A29" w:rsidRPr="00B31CDD" w:rsidRDefault="00EF3A29" w:rsidP="00365C11">
            <w:r w:rsidRPr="0049606D">
              <w:rPr>
                <w:b/>
              </w:rPr>
              <w:t>Clindamycin i.v</w:t>
            </w:r>
            <w:r w:rsidRPr="00B31CDD">
              <w:t>.</w:t>
            </w:r>
          </w:p>
          <w:p w:rsidR="00EF3A29" w:rsidRPr="00B31CDD" w:rsidRDefault="00EF3A29" w:rsidP="00365C11">
            <w:r w:rsidRPr="00B31CDD">
              <w:t>&lt;80 kg: 600 mg</w:t>
            </w:r>
          </w:p>
          <w:p w:rsidR="00EF3A29" w:rsidRDefault="00EF3A29" w:rsidP="00365C11">
            <w:r w:rsidRPr="00B31CDD">
              <w:t>&gt;80 kg: 900 mg</w:t>
            </w:r>
          </w:p>
          <w:p w:rsidR="00EF3A29" w:rsidRDefault="00EF3A29" w:rsidP="00365C11"/>
          <w:p w:rsidR="00EF3A29" w:rsidRDefault="00EF3A29" w:rsidP="00365C11"/>
        </w:tc>
      </w:tr>
      <w:tr w:rsidR="00EF3A29" w:rsidTr="00365C11">
        <w:tc>
          <w:tcPr>
            <w:tcW w:w="2419" w:type="dxa"/>
          </w:tcPr>
          <w:p w:rsidR="00EF3A29" w:rsidRPr="0049606D" w:rsidRDefault="00EF3A29" w:rsidP="003E5F26">
            <w:pPr>
              <w:rPr>
                <w:b/>
              </w:rPr>
            </w:pPr>
            <w:r>
              <w:rPr>
                <w:b/>
              </w:rPr>
              <w:t xml:space="preserve">OSME </w:t>
            </w:r>
            <w:r w:rsidR="003E5F26">
              <w:rPr>
                <w:b/>
              </w:rPr>
              <w:t>Thoraxchiru</w:t>
            </w:r>
            <w:r w:rsidR="003E5F26">
              <w:rPr>
                <w:b/>
              </w:rPr>
              <w:t>r</w:t>
            </w:r>
            <w:r w:rsidR="003E5F26">
              <w:rPr>
                <w:b/>
              </w:rPr>
              <w:t>gie</w:t>
            </w:r>
          </w:p>
        </w:tc>
        <w:tc>
          <w:tcPr>
            <w:tcW w:w="2955" w:type="dxa"/>
          </w:tcPr>
          <w:p w:rsidR="00EF3A29" w:rsidRPr="0049606D" w:rsidRDefault="00EF3A29" w:rsidP="00365C11">
            <w:pPr>
              <w:rPr>
                <w:b/>
              </w:rPr>
            </w:pPr>
            <w:r>
              <w:t>Keine Prophylaxe</w:t>
            </w:r>
          </w:p>
        </w:tc>
        <w:tc>
          <w:tcPr>
            <w:tcW w:w="2784" w:type="dxa"/>
          </w:tcPr>
          <w:p w:rsidR="00EF3A29" w:rsidRPr="0049606D" w:rsidRDefault="00EF3A29" w:rsidP="00365C11">
            <w:pPr>
              <w:rPr>
                <w:b/>
              </w:rPr>
            </w:pPr>
          </w:p>
        </w:tc>
      </w:tr>
    </w:tbl>
    <w:p w:rsidR="00EF3A29" w:rsidRDefault="00EF3A29" w:rsidP="0045536B">
      <w:pPr>
        <w:rPr>
          <w:b/>
          <w:sz w:val="28"/>
          <w:szCs w:val="28"/>
        </w:rPr>
      </w:pPr>
    </w:p>
    <w:p w:rsidR="00EF3A29" w:rsidRDefault="00EF3A29" w:rsidP="0045536B">
      <w:pPr>
        <w:rPr>
          <w:b/>
          <w:sz w:val="28"/>
          <w:szCs w:val="28"/>
        </w:rPr>
      </w:pPr>
    </w:p>
    <w:p w:rsidR="00EF3A29" w:rsidRDefault="00EF3A29" w:rsidP="0045536B">
      <w:pPr>
        <w:rPr>
          <w:b/>
          <w:sz w:val="28"/>
          <w:szCs w:val="28"/>
        </w:rPr>
      </w:pPr>
    </w:p>
    <w:p w:rsidR="00EF3A29" w:rsidRDefault="00EF3A29" w:rsidP="0045536B">
      <w:pPr>
        <w:rPr>
          <w:b/>
          <w:sz w:val="28"/>
          <w:szCs w:val="28"/>
        </w:rPr>
      </w:pPr>
    </w:p>
    <w:p w:rsidR="00EF3A29" w:rsidRDefault="00EF3A29" w:rsidP="0045536B">
      <w:pPr>
        <w:rPr>
          <w:b/>
          <w:sz w:val="28"/>
          <w:szCs w:val="28"/>
        </w:rPr>
      </w:pPr>
    </w:p>
    <w:p w:rsidR="00EF3A29" w:rsidRDefault="00EF3A29" w:rsidP="0045536B">
      <w:pPr>
        <w:rPr>
          <w:b/>
          <w:sz w:val="28"/>
          <w:szCs w:val="28"/>
        </w:rPr>
      </w:pPr>
    </w:p>
    <w:p w:rsidR="00EF3A29" w:rsidRDefault="00EF3A29" w:rsidP="0045536B">
      <w:pPr>
        <w:rPr>
          <w:b/>
          <w:sz w:val="28"/>
          <w:szCs w:val="28"/>
        </w:rPr>
      </w:pPr>
    </w:p>
    <w:p w:rsidR="00EF3A29" w:rsidRDefault="00EF3A29" w:rsidP="00455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Gefässchirurgie</w:t>
      </w:r>
    </w:p>
    <w:p w:rsidR="00EF3A29" w:rsidRDefault="00EF3A29" w:rsidP="0045536B">
      <w:pPr>
        <w:rPr>
          <w:b/>
          <w:sz w:val="28"/>
          <w:szCs w:val="28"/>
        </w:rPr>
      </w:pPr>
    </w:p>
    <w:tbl>
      <w:tblPr>
        <w:tblStyle w:val="TabellenrasterLUKS1"/>
        <w:tblW w:w="0" w:type="auto"/>
        <w:tblLook w:val="04A0" w:firstRow="1" w:lastRow="0" w:firstColumn="1" w:lastColumn="0" w:noHBand="0" w:noVBand="1"/>
      </w:tblPr>
      <w:tblGrid>
        <w:gridCol w:w="2419"/>
        <w:gridCol w:w="2955"/>
        <w:gridCol w:w="2784"/>
      </w:tblGrid>
      <w:tr w:rsidR="00EF3A29" w:rsidTr="00365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9" w:type="dxa"/>
            <w:shd w:val="clear" w:color="auto" w:fill="C5DCF3" w:themeFill="accent4" w:themeFillTint="33"/>
          </w:tcPr>
          <w:p w:rsidR="00EF3A29" w:rsidRPr="00D36E64" w:rsidRDefault="00EF3A29" w:rsidP="00365C11">
            <w:pPr>
              <w:rPr>
                <w:color w:val="auto"/>
              </w:rPr>
            </w:pPr>
            <w:r w:rsidRPr="00D36E64">
              <w:rPr>
                <w:color w:val="auto"/>
              </w:rPr>
              <w:t>Eingriff</w:t>
            </w:r>
          </w:p>
        </w:tc>
        <w:tc>
          <w:tcPr>
            <w:tcW w:w="2955" w:type="dxa"/>
            <w:shd w:val="clear" w:color="auto" w:fill="C5DCF3" w:themeFill="accent4" w:themeFillTint="33"/>
          </w:tcPr>
          <w:p w:rsidR="00EF3A29" w:rsidRDefault="00EF3A29" w:rsidP="00365C11">
            <w:pPr>
              <w:rPr>
                <w:color w:val="auto"/>
              </w:rPr>
            </w:pPr>
            <w:r w:rsidRPr="00D36E64">
              <w:rPr>
                <w:color w:val="auto"/>
              </w:rPr>
              <w:t>Empfehlung</w:t>
            </w:r>
            <w:r>
              <w:rPr>
                <w:color w:val="auto"/>
              </w:rPr>
              <w:t xml:space="preserve"> </w:t>
            </w:r>
          </w:p>
          <w:p w:rsidR="00EF3A29" w:rsidRPr="008D0D2E" w:rsidRDefault="00EF3A29" w:rsidP="00365C11">
            <w:pPr>
              <w:rPr>
                <w:b w:val="0"/>
                <w:color w:val="auto"/>
              </w:rPr>
            </w:pPr>
            <w:r w:rsidRPr="008D0D2E">
              <w:rPr>
                <w:b w:val="0"/>
                <w:color w:val="auto"/>
              </w:rPr>
              <w:t>(</w:t>
            </w:r>
            <w:r>
              <w:rPr>
                <w:b w:val="0"/>
                <w:color w:val="auto"/>
              </w:rPr>
              <w:t>gilt auch bei "Allergie"-Anamnese</w:t>
            </w:r>
            <w:r w:rsidRPr="008D0D2E">
              <w:rPr>
                <w:b w:val="0"/>
                <w:color w:val="auto"/>
              </w:rPr>
              <w:t xml:space="preserve"> mit makulop</w:t>
            </w:r>
            <w:r w:rsidRPr="008D0D2E">
              <w:rPr>
                <w:b w:val="0"/>
                <w:color w:val="auto"/>
              </w:rPr>
              <w:t>a</w:t>
            </w:r>
            <w:r w:rsidRPr="008D0D2E">
              <w:rPr>
                <w:b w:val="0"/>
                <w:color w:val="auto"/>
              </w:rPr>
              <w:t>pulösem Exanthem unter Penicillin</w:t>
            </w:r>
            <w:r>
              <w:rPr>
                <w:b w:val="0"/>
                <w:color w:val="auto"/>
              </w:rPr>
              <w:t>-</w:t>
            </w:r>
            <w:r w:rsidRPr="008D0D2E">
              <w:rPr>
                <w:b w:val="0"/>
                <w:color w:val="auto"/>
              </w:rPr>
              <w:t xml:space="preserve"> und anderen B</w:t>
            </w:r>
            <w:r w:rsidRPr="008D0D2E">
              <w:rPr>
                <w:b w:val="0"/>
                <w:color w:val="auto"/>
              </w:rPr>
              <w:t>e</w:t>
            </w:r>
            <w:r w:rsidRPr="008D0D2E">
              <w:rPr>
                <w:b w:val="0"/>
                <w:color w:val="auto"/>
              </w:rPr>
              <w:t>talaktam-Antibiotika)</w:t>
            </w:r>
          </w:p>
        </w:tc>
        <w:tc>
          <w:tcPr>
            <w:tcW w:w="2784" w:type="dxa"/>
            <w:shd w:val="clear" w:color="auto" w:fill="C5DCF3" w:themeFill="accent4" w:themeFillTint="33"/>
          </w:tcPr>
          <w:p w:rsidR="00EF3A29" w:rsidRPr="00997D59" w:rsidRDefault="00EF3A29" w:rsidP="00365C11">
            <w:pPr>
              <w:rPr>
                <w:color w:val="auto"/>
              </w:rPr>
            </w:pPr>
            <w:r w:rsidRPr="00997D59">
              <w:rPr>
                <w:color w:val="auto"/>
              </w:rPr>
              <w:t xml:space="preserve">Alternative </w:t>
            </w:r>
          </w:p>
          <w:p w:rsidR="00EF3A29" w:rsidRPr="00D36E64" w:rsidRDefault="00EF3A29" w:rsidP="00365C11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997D59">
              <w:rPr>
                <w:b w:val="0"/>
                <w:color w:val="auto"/>
              </w:rPr>
              <w:t>bei Anaphylaxie, Bro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chospasmus, Lyell-Syndrom oder Hyperse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sitivitätssyndrom nach Penicillin</w:t>
            </w:r>
            <w:r>
              <w:rPr>
                <w:b w:val="0"/>
                <w:color w:val="auto"/>
              </w:rPr>
              <w:t>-</w:t>
            </w:r>
            <w:r w:rsidRPr="00997D59">
              <w:rPr>
                <w:b w:val="0"/>
                <w:color w:val="auto"/>
              </w:rPr>
              <w:t xml:space="preserve"> oder anderen Be</w:t>
            </w:r>
            <w:r>
              <w:rPr>
                <w:b w:val="0"/>
                <w:color w:val="auto"/>
              </w:rPr>
              <w:t>talaktam-Antibiotikum in der Vorgeschichte)</w:t>
            </w:r>
          </w:p>
        </w:tc>
      </w:tr>
      <w:tr w:rsidR="00EF3A29" w:rsidTr="00365C11">
        <w:tc>
          <w:tcPr>
            <w:tcW w:w="2419" w:type="dxa"/>
          </w:tcPr>
          <w:p w:rsidR="00EF3A29" w:rsidRDefault="00EF3A29" w:rsidP="00365C11">
            <w:pPr>
              <w:rPr>
                <w:b/>
              </w:rPr>
            </w:pPr>
            <w:r w:rsidRPr="0049606D">
              <w:rPr>
                <w:b/>
              </w:rPr>
              <w:t>Alle Gefässeingriffe</w:t>
            </w:r>
          </w:p>
          <w:p w:rsidR="00EF3A29" w:rsidRPr="004374C7" w:rsidRDefault="00EF3A29" w:rsidP="00365C11">
            <w:r w:rsidRPr="004374C7">
              <w:t>(Exkl. TEA)</w:t>
            </w:r>
          </w:p>
        </w:tc>
        <w:tc>
          <w:tcPr>
            <w:tcW w:w="2955" w:type="dxa"/>
          </w:tcPr>
          <w:p w:rsidR="00EF3A29" w:rsidRDefault="00EF3A29" w:rsidP="00365C11">
            <w:r w:rsidRPr="0049606D">
              <w:rPr>
                <w:b/>
              </w:rPr>
              <w:t>Cefazolin i.v</w:t>
            </w:r>
            <w:r>
              <w:t>.</w:t>
            </w:r>
          </w:p>
          <w:p w:rsidR="00EF3A29" w:rsidRDefault="00EF3A29" w:rsidP="00365C11">
            <w:r>
              <w:t>&lt;120 kg: 2 g</w:t>
            </w:r>
          </w:p>
          <w:p w:rsidR="00EF3A29" w:rsidRDefault="00EF3A29" w:rsidP="00365C11">
            <w:r>
              <w:t>&gt;120 kg: 3 g</w:t>
            </w:r>
          </w:p>
          <w:p w:rsidR="00EF3A29" w:rsidRDefault="00EF3A29" w:rsidP="00365C11"/>
        </w:tc>
        <w:tc>
          <w:tcPr>
            <w:tcW w:w="2784" w:type="dxa"/>
          </w:tcPr>
          <w:p w:rsidR="00EF3A29" w:rsidRDefault="00EF3A29" w:rsidP="00365C11">
            <w:r w:rsidRPr="0049606D">
              <w:rPr>
                <w:b/>
              </w:rPr>
              <w:t>Vancomycin</w:t>
            </w:r>
            <w:r w:rsidRPr="00B31CDD">
              <w:t xml:space="preserve"> </w:t>
            </w:r>
          </w:p>
          <w:p w:rsidR="00EF3A29" w:rsidRDefault="00EF3A29" w:rsidP="00365C11">
            <w:r w:rsidRPr="00B31CDD">
              <w:t xml:space="preserve">20 mg/kg KG </w:t>
            </w:r>
          </w:p>
          <w:p w:rsidR="00EF3A29" w:rsidRDefault="00EF3A29" w:rsidP="00365C11">
            <w:r w:rsidRPr="00B31CDD">
              <w:t>(max. 3000 mg)</w:t>
            </w:r>
          </w:p>
          <w:p w:rsidR="00EF3A29" w:rsidRPr="00B31CDD" w:rsidRDefault="00EF3A29" w:rsidP="00365C11"/>
          <w:p w:rsidR="00EF3A29" w:rsidRPr="00B31CDD" w:rsidRDefault="00EF3A29" w:rsidP="00365C11">
            <w:r w:rsidRPr="00B31CDD">
              <w:t>Alternative</w:t>
            </w:r>
            <w:r>
              <w:t>:</w:t>
            </w:r>
          </w:p>
          <w:p w:rsidR="00EF3A29" w:rsidRPr="00B31CDD" w:rsidRDefault="00EF3A29" w:rsidP="00365C11">
            <w:r w:rsidRPr="0049606D">
              <w:rPr>
                <w:b/>
              </w:rPr>
              <w:t>Clindamycin i.v</w:t>
            </w:r>
            <w:r w:rsidRPr="00B31CDD">
              <w:t>.</w:t>
            </w:r>
          </w:p>
          <w:p w:rsidR="00EF3A29" w:rsidRPr="00B31CDD" w:rsidRDefault="00EF3A29" w:rsidP="00365C11">
            <w:r w:rsidRPr="00B31CDD">
              <w:t>&lt;80 kg: 600 mg</w:t>
            </w:r>
          </w:p>
          <w:p w:rsidR="00EF3A29" w:rsidRDefault="00EF3A29" w:rsidP="00365C11">
            <w:r w:rsidRPr="00B31CDD">
              <w:t>&gt;80 kg: 900 mg</w:t>
            </w:r>
          </w:p>
          <w:p w:rsidR="00EF3A29" w:rsidRDefault="00EF3A29" w:rsidP="00365C11"/>
          <w:p w:rsidR="00EF3A29" w:rsidRDefault="00EF3A29" w:rsidP="00365C11"/>
        </w:tc>
      </w:tr>
    </w:tbl>
    <w:p w:rsidR="0045536B" w:rsidRPr="00412C4A" w:rsidRDefault="00EF3A29" w:rsidP="004553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45536B" w:rsidRPr="00412C4A">
        <w:rPr>
          <w:b/>
          <w:sz w:val="28"/>
          <w:szCs w:val="28"/>
        </w:rPr>
        <w:t>Neurochirurgie und Wirbelsäulenchirurgie</w:t>
      </w:r>
    </w:p>
    <w:p w:rsidR="0045536B" w:rsidRDefault="0045536B" w:rsidP="0045536B"/>
    <w:tbl>
      <w:tblPr>
        <w:tblStyle w:val="TabellenrasterLUKS1"/>
        <w:tblW w:w="0" w:type="auto"/>
        <w:tblLook w:val="04A0" w:firstRow="1" w:lastRow="0" w:firstColumn="1" w:lastColumn="0" w:noHBand="0" w:noVBand="1"/>
      </w:tblPr>
      <w:tblGrid>
        <w:gridCol w:w="2454"/>
        <w:gridCol w:w="2955"/>
        <w:gridCol w:w="2784"/>
      </w:tblGrid>
      <w:tr w:rsidR="0045536B" w:rsidTr="00ED5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4" w:type="dxa"/>
            <w:shd w:val="clear" w:color="auto" w:fill="C5DCF3" w:themeFill="accent4" w:themeFillTint="33"/>
          </w:tcPr>
          <w:p w:rsidR="0045536B" w:rsidRPr="00D36E64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Eingriff</w:t>
            </w:r>
          </w:p>
        </w:tc>
        <w:tc>
          <w:tcPr>
            <w:tcW w:w="2955" w:type="dxa"/>
            <w:shd w:val="clear" w:color="auto" w:fill="C5DCF3" w:themeFill="accent4" w:themeFillTint="33"/>
          </w:tcPr>
          <w:p w:rsidR="0045536B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Empfehlung</w:t>
            </w:r>
            <w:r>
              <w:rPr>
                <w:color w:val="auto"/>
              </w:rPr>
              <w:t xml:space="preserve"> </w:t>
            </w:r>
          </w:p>
          <w:p w:rsidR="0045536B" w:rsidRPr="008D0D2E" w:rsidRDefault="0045536B" w:rsidP="00C34A34">
            <w:pPr>
              <w:rPr>
                <w:b w:val="0"/>
                <w:color w:val="auto"/>
              </w:rPr>
            </w:pPr>
            <w:r w:rsidRPr="008D0D2E">
              <w:rPr>
                <w:b w:val="0"/>
                <w:color w:val="auto"/>
              </w:rPr>
              <w:t>(</w:t>
            </w:r>
            <w:r>
              <w:rPr>
                <w:b w:val="0"/>
                <w:color w:val="auto"/>
              </w:rPr>
              <w:t>gilt auch bei "Allergie"-Anamnese</w:t>
            </w:r>
            <w:r w:rsidRPr="008D0D2E">
              <w:rPr>
                <w:b w:val="0"/>
                <w:color w:val="auto"/>
              </w:rPr>
              <w:t xml:space="preserve"> mit makulop</w:t>
            </w:r>
            <w:r w:rsidRPr="008D0D2E">
              <w:rPr>
                <w:b w:val="0"/>
                <w:color w:val="auto"/>
              </w:rPr>
              <w:t>a</w:t>
            </w:r>
            <w:r w:rsidRPr="008D0D2E">
              <w:rPr>
                <w:b w:val="0"/>
                <w:color w:val="auto"/>
              </w:rPr>
              <w:t>pulösem Exanthem unter Penicillin</w:t>
            </w:r>
            <w:r>
              <w:rPr>
                <w:b w:val="0"/>
                <w:color w:val="auto"/>
              </w:rPr>
              <w:t>-</w:t>
            </w:r>
            <w:r w:rsidRPr="008D0D2E">
              <w:rPr>
                <w:b w:val="0"/>
                <w:color w:val="auto"/>
              </w:rPr>
              <w:t xml:space="preserve"> und anderen B</w:t>
            </w:r>
            <w:r w:rsidRPr="008D0D2E">
              <w:rPr>
                <w:b w:val="0"/>
                <w:color w:val="auto"/>
              </w:rPr>
              <w:t>e</w:t>
            </w:r>
            <w:r w:rsidRPr="008D0D2E">
              <w:rPr>
                <w:b w:val="0"/>
                <w:color w:val="auto"/>
              </w:rPr>
              <w:t>talaktam-Antibiotika)</w:t>
            </w:r>
          </w:p>
        </w:tc>
        <w:tc>
          <w:tcPr>
            <w:tcW w:w="2784" w:type="dxa"/>
            <w:shd w:val="clear" w:color="auto" w:fill="C5DCF3" w:themeFill="accent4" w:themeFillTint="33"/>
          </w:tcPr>
          <w:p w:rsidR="0045536B" w:rsidRPr="00997D59" w:rsidRDefault="0045536B" w:rsidP="00C34A34">
            <w:pPr>
              <w:rPr>
                <w:color w:val="auto"/>
              </w:rPr>
            </w:pPr>
            <w:r w:rsidRPr="00997D59">
              <w:rPr>
                <w:color w:val="auto"/>
              </w:rPr>
              <w:t xml:space="preserve">Alternative </w:t>
            </w:r>
          </w:p>
          <w:p w:rsidR="0045536B" w:rsidRPr="00D36E64" w:rsidRDefault="0045536B" w:rsidP="00C34A34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997D59">
              <w:rPr>
                <w:b w:val="0"/>
                <w:color w:val="auto"/>
              </w:rPr>
              <w:t>bei Anaphylaxie, Bro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chospasmus, Lyell-Syndrom oder Hyperse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sitivitätssyndrom nach Penicillin</w:t>
            </w:r>
            <w:r>
              <w:rPr>
                <w:b w:val="0"/>
                <w:color w:val="auto"/>
              </w:rPr>
              <w:t>-</w:t>
            </w:r>
            <w:r w:rsidRPr="00997D59">
              <w:rPr>
                <w:b w:val="0"/>
                <w:color w:val="auto"/>
              </w:rPr>
              <w:t xml:space="preserve"> oder anderen Be</w:t>
            </w:r>
            <w:r>
              <w:rPr>
                <w:b w:val="0"/>
                <w:color w:val="auto"/>
              </w:rPr>
              <w:t>talaktam-Antibiotikum in der Vorgeschichte)</w:t>
            </w:r>
          </w:p>
        </w:tc>
      </w:tr>
      <w:tr w:rsidR="0045536B" w:rsidTr="00ED5545">
        <w:tc>
          <w:tcPr>
            <w:tcW w:w="2454" w:type="dxa"/>
          </w:tcPr>
          <w:p w:rsidR="0045536B" w:rsidRDefault="0045536B" w:rsidP="00C34A34">
            <w:pPr>
              <w:rPr>
                <w:b/>
              </w:rPr>
            </w:pPr>
            <w:r>
              <w:rPr>
                <w:b/>
              </w:rPr>
              <w:t>Elektive Kraniotomie, Shunt-Operation</w:t>
            </w:r>
          </w:p>
          <w:p w:rsidR="0045536B" w:rsidRDefault="0045536B" w:rsidP="00C34A34">
            <w:pPr>
              <w:rPr>
                <w:b/>
              </w:rPr>
            </w:pPr>
          </w:p>
          <w:p w:rsidR="0045536B" w:rsidRDefault="0045536B" w:rsidP="00C34A34">
            <w:pPr>
              <w:rPr>
                <w:b/>
              </w:rPr>
            </w:pPr>
            <w:r>
              <w:rPr>
                <w:b/>
              </w:rPr>
              <w:t>Transsphenoidale Eingriffe</w:t>
            </w:r>
          </w:p>
          <w:p w:rsidR="0045536B" w:rsidRDefault="0045536B" w:rsidP="00C34A34">
            <w:pPr>
              <w:rPr>
                <w:b/>
              </w:rPr>
            </w:pPr>
          </w:p>
          <w:p w:rsidR="0045536B" w:rsidRPr="00556838" w:rsidRDefault="0045536B" w:rsidP="00C34A34">
            <w:pPr>
              <w:rPr>
                <w:b/>
              </w:rPr>
            </w:pPr>
            <w:r>
              <w:rPr>
                <w:b/>
              </w:rPr>
              <w:t>Implantation i</w:t>
            </w:r>
            <w:r>
              <w:rPr>
                <w:b/>
              </w:rPr>
              <w:t>n</w:t>
            </w:r>
            <w:r>
              <w:rPr>
                <w:b/>
              </w:rPr>
              <w:t>trathekale Frem</w:t>
            </w:r>
            <w:r>
              <w:rPr>
                <w:b/>
              </w:rPr>
              <w:t>d</w:t>
            </w:r>
            <w:r>
              <w:rPr>
                <w:b/>
              </w:rPr>
              <w:t xml:space="preserve">körper </w:t>
            </w:r>
            <w:r w:rsidRPr="00201740">
              <w:t>(Stimulatoren, VP-, VA-Shunts, and</w:t>
            </w:r>
            <w:r w:rsidRPr="00201740">
              <w:t>e</w:t>
            </w:r>
            <w:r w:rsidRPr="00201740">
              <w:t>re)</w:t>
            </w:r>
          </w:p>
        </w:tc>
        <w:tc>
          <w:tcPr>
            <w:tcW w:w="2955" w:type="dxa"/>
          </w:tcPr>
          <w:p w:rsidR="0045536B" w:rsidRPr="00412C4A" w:rsidRDefault="0045536B" w:rsidP="00C34A34">
            <w:pPr>
              <w:rPr>
                <w:b/>
              </w:rPr>
            </w:pPr>
            <w:r w:rsidRPr="00412C4A">
              <w:rPr>
                <w:b/>
              </w:rPr>
              <w:t>Cefazolin i.v.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/>
          <w:p w:rsidR="0045536B" w:rsidRDefault="0045536B" w:rsidP="00C34A34"/>
        </w:tc>
        <w:tc>
          <w:tcPr>
            <w:tcW w:w="2784" w:type="dxa"/>
          </w:tcPr>
          <w:p w:rsidR="0045536B" w:rsidRPr="00412C4A" w:rsidRDefault="0045536B" w:rsidP="00C34A34">
            <w:pPr>
              <w:rPr>
                <w:b/>
              </w:rPr>
            </w:pPr>
            <w:r w:rsidRPr="00412C4A">
              <w:rPr>
                <w:b/>
              </w:rPr>
              <w:t xml:space="preserve">Vancomycin </w:t>
            </w:r>
          </w:p>
          <w:p w:rsidR="0045536B" w:rsidRDefault="0045536B" w:rsidP="00C34A34">
            <w:r w:rsidRPr="00B31CDD">
              <w:t xml:space="preserve">20 mg/kg KG </w:t>
            </w:r>
          </w:p>
          <w:p w:rsidR="0045536B" w:rsidRDefault="0045536B" w:rsidP="00C34A34">
            <w:r w:rsidRPr="00B31CDD">
              <w:t>(max. 3000 mg)</w:t>
            </w:r>
          </w:p>
          <w:p w:rsidR="0045536B" w:rsidRPr="00B31CDD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Clindamycin i.v.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  <w:p w:rsidR="0045536B" w:rsidRPr="00B31CDD" w:rsidRDefault="0045536B" w:rsidP="00C34A34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</w:tr>
      <w:tr w:rsidR="00ED5545" w:rsidTr="00ED5545">
        <w:tc>
          <w:tcPr>
            <w:tcW w:w="2454" w:type="dxa"/>
          </w:tcPr>
          <w:p w:rsidR="00ED5545" w:rsidRDefault="00ED5545" w:rsidP="00C34A34">
            <w:pPr>
              <w:rPr>
                <w:b/>
              </w:rPr>
            </w:pPr>
            <w:r>
              <w:rPr>
                <w:b/>
              </w:rPr>
              <w:t>Extraventrikuläre Drainage EVD</w:t>
            </w:r>
          </w:p>
        </w:tc>
        <w:tc>
          <w:tcPr>
            <w:tcW w:w="2955" w:type="dxa"/>
          </w:tcPr>
          <w:p w:rsidR="00ED5545" w:rsidRDefault="00ED5545" w:rsidP="00C34A34">
            <w:r>
              <w:t>Prophylaxe bei Einlage:</w:t>
            </w:r>
          </w:p>
          <w:p w:rsidR="00ED5545" w:rsidRPr="00412C4A" w:rsidRDefault="00ED5545" w:rsidP="00ED5545">
            <w:pPr>
              <w:rPr>
                <w:b/>
              </w:rPr>
            </w:pPr>
            <w:r w:rsidRPr="00412C4A">
              <w:rPr>
                <w:b/>
              </w:rPr>
              <w:t>Cefazolin i.v.</w:t>
            </w:r>
          </w:p>
          <w:p w:rsidR="00ED5545" w:rsidRDefault="00ED5545" w:rsidP="00ED5545">
            <w:r>
              <w:t>&lt;120 kg: 2 g</w:t>
            </w:r>
          </w:p>
          <w:p w:rsidR="00ED5545" w:rsidRDefault="00ED5545" w:rsidP="00C34A34">
            <w:r>
              <w:t>&gt;120 kg: 3 g</w:t>
            </w:r>
          </w:p>
        </w:tc>
        <w:tc>
          <w:tcPr>
            <w:tcW w:w="2784" w:type="dxa"/>
          </w:tcPr>
          <w:p w:rsidR="00ED5545" w:rsidRPr="00412C4A" w:rsidRDefault="00ED5545" w:rsidP="00365C11">
            <w:pPr>
              <w:rPr>
                <w:b/>
              </w:rPr>
            </w:pPr>
            <w:r w:rsidRPr="00412C4A">
              <w:rPr>
                <w:b/>
              </w:rPr>
              <w:t xml:space="preserve">Vancomycin </w:t>
            </w:r>
          </w:p>
          <w:p w:rsidR="00ED5545" w:rsidRDefault="00ED5545" w:rsidP="00365C11">
            <w:r w:rsidRPr="00B31CDD">
              <w:t xml:space="preserve">20 mg/kg KG </w:t>
            </w:r>
          </w:p>
          <w:p w:rsidR="00ED5545" w:rsidRDefault="00ED5545" w:rsidP="00365C11">
            <w:r w:rsidRPr="00B31CDD">
              <w:t>(max. 3000 mg)</w:t>
            </w:r>
          </w:p>
          <w:p w:rsidR="00ED5545" w:rsidRPr="00B31CDD" w:rsidRDefault="00ED5545" w:rsidP="00365C11"/>
          <w:p w:rsidR="00ED5545" w:rsidRPr="00B31CDD" w:rsidRDefault="00ED5545" w:rsidP="00365C11">
            <w:r w:rsidRPr="00B31CDD">
              <w:t>Alternative</w:t>
            </w:r>
            <w:r>
              <w:t>:</w:t>
            </w:r>
          </w:p>
          <w:p w:rsidR="00ED5545" w:rsidRPr="00201740" w:rsidRDefault="00ED5545" w:rsidP="00365C11">
            <w:pPr>
              <w:rPr>
                <w:b/>
              </w:rPr>
            </w:pPr>
            <w:r w:rsidRPr="00201740">
              <w:rPr>
                <w:b/>
              </w:rPr>
              <w:t>Clindamycin i.v.</w:t>
            </w:r>
          </w:p>
          <w:p w:rsidR="00ED5545" w:rsidRPr="00B31CDD" w:rsidRDefault="00ED5545" w:rsidP="00365C11">
            <w:r w:rsidRPr="00B31CDD">
              <w:t>&lt;80 kg: 600 mg</w:t>
            </w:r>
          </w:p>
          <w:p w:rsidR="00ED5545" w:rsidRDefault="00ED5545" w:rsidP="00365C11">
            <w:r w:rsidRPr="00B31CDD">
              <w:t>&gt;80 kg: 900 mg</w:t>
            </w:r>
          </w:p>
          <w:p w:rsidR="00ED5545" w:rsidRDefault="00ED5545" w:rsidP="00365C11"/>
          <w:p w:rsidR="00ED5545" w:rsidRPr="00B31CDD" w:rsidRDefault="00ED5545" w:rsidP="00365C11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</w:tr>
      <w:tr w:rsidR="00ED5545" w:rsidTr="00ED5545">
        <w:tc>
          <w:tcPr>
            <w:tcW w:w="2454" w:type="dxa"/>
          </w:tcPr>
          <w:p w:rsidR="00ED5545" w:rsidRDefault="00ED5545" w:rsidP="00C34A34">
            <w:r>
              <w:rPr>
                <w:b/>
              </w:rPr>
              <w:t>Offenes Schädelhir</w:t>
            </w:r>
            <w:r>
              <w:rPr>
                <w:b/>
              </w:rPr>
              <w:t>n</w:t>
            </w:r>
            <w:r>
              <w:rPr>
                <w:b/>
              </w:rPr>
              <w:t>trauma</w:t>
            </w:r>
          </w:p>
        </w:tc>
        <w:tc>
          <w:tcPr>
            <w:tcW w:w="2955" w:type="dxa"/>
          </w:tcPr>
          <w:p w:rsidR="00ED5545" w:rsidRPr="00D36E64" w:rsidRDefault="00ED5545" w:rsidP="00C34A34">
            <w:pPr>
              <w:rPr>
                <w:b/>
              </w:rPr>
            </w:pPr>
            <w:r>
              <w:rPr>
                <w:b/>
              </w:rPr>
              <w:t xml:space="preserve">Amoxicillin/Clavulansäure 2.2g iv. 8-stündlich, für 72h </w:t>
            </w:r>
            <w:r w:rsidRPr="00294F0C">
              <w:t>(Prä</w:t>
            </w:r>
            <w:r>
              <w:t>e</w:t>
            </w:r>
            <w:r w:rsidRPr="00294F0C">
              <w:t>mptive Therapie wie III-gradig offene Fra</w:t>
            </w:r>
            <w:r w:rsidRPr="00294F0C">
              <w:t>k</w:t>
            </w:r>
            <w:r w:rsidRPr="00294F0C">
              <w:t>tur)</w:t>
            </w:r>
          </w:p>
        </w:tc>
        <w:tc>
          <w:tcPr>
            <w:tcW w:w="2784" w:type="dxa"/>
          </w:tcPr>
          <w:p w:rsidR="00ED5545" w:rsidRPr="00D36E64" w:rsidRDefault="00ED5545" w:rsidP="00C34A34">
            <w:pPr>
              <w:rPr>
                <w:b/>
              </w:rPr>
            </w:pPr>
          </w:p>
        </w:tc>
      </w:tr>
      <w:tr w:rsidR="00ED5545" w:rsidTr="00ED5545">
        <w:tc>
          <w:tcPr>
            <w:tcW w:w="2454" w:type="dxa"/>
          </w:tcPr>
          <w:p w:rsidR="00ED5545" w:rsidRPr="00201740" w:rsidRDefault="00ED5545" w:rsidP="00C34A34">
            <w:pPr>
              <w:rPr>
                <w:b/>
              </w:rPr>
            </w:pPr>
            <w:r w:rsidRPr="00201740">
              <w:rPr>
                <w:b/>
              </w:rPr>
              <w:t>Wirbelsäuleneingriffe mit / ohne Frem</w:t>
            </w:r>
            <w:r w:rsidRPr="00201740">
              <w:rPr>
                <w:b/>
              </w:rPr>
              <w:t>d</w:t>
            </w:r>
            <w:r w:rsidRPr="00201740">
              <w:rPr>
                <w:b/>
              </w:rPr>
              <w:t>körpereinlage</w:t>
            </w:r>
          </w:p>
        </w:tc>
        <w:tc>
          <w:tcPr>
            <w:tcW w:w="2955" w:type="dxa"/>
          </w:tcPr>
          <w:p w:rsidR="00ED5545" w:rsidRPr="00D36E64" w:rsidRDefault="00ED5545" w:rsidP="00C34A34">
            <w:pPr>
              <w:rPr>
                <w:b/>
              </w:rPr>
            </w:pPr>
            <w:r w:rsidRPr="00D36E64">
              <w:rPr>
                <w:b/>
              </w:rPr>
              <w:t>Cefazolin i.v.</w:t>
            </w:r>
          </w:p>
          <w:p w:rsidR="00ED5545" w:rsidRDefault="00ED5545" w:rsidP="00C34A34">
            <w:r>
              <w:t>&lt;120 kg: 2 g</w:t>
            </w:r>
          </w:p>
          <w:p w:rsidR="00ED5545" w:rsidRDefault="00ED5545" w:rsidP="00C34A34">
            <w:r>
              <w:t>&gt;120 kg: 3 g</w:t>
            </w:r>
          </w:p>
          <w:p w:rsidR="00ED5545" w:rsidRDefault="00ED5545" w:rsidP="00C34A34"/>
          <w:p w:rsidR="00ED5545" w:rsidRDefault="00ED5545" w:rsidP="00C34A34"/>
        </w:tc>
        <w:tc>
          <w:tcPr>
            <w:tcW w:w="2784" w:type="dxa"/>
          </w:tcPr>
          <w:p w:rsidR="00ED5545" w:rsidRDefault="00ED5545" w:rsidP="00C34A34">
            <w:pPr>
              <w:rPr>
                <w:b/>
              </w:rPr>
            </w:pPr>
            <w:r w:rsidRPr="00D36E64">
              <w:rPr>
                <w:b/>
              </w:rPr>
              <w:t xml:space="preserve">Vancomycin </w:t>
            </w:r>
          </w:p>
          <w:p w:rsidR="00ED5545" w:rsidRDefault="00ED5545" w:rsidP="00C34A34">
            <w:r w:rsidRPr="00B31CDD">
              <w:t xml:space="preserve">20 mg/kg KG </w:t>
            </w:r>
          </w:p>
          <w:p w:rsidR="00ED5545" w:rsidRDefault="00ED5545" w:rsidP="00C34A34">
            <w:r w:rsidRPr="00B31CDD">
              <w:t>(max. 3000 mg)</w:t>
            </w:r>
          </w:p>
          <w:p w:rsidR="00ED5545" w:rsidRPr="00B31CDD" w:rsidRDefault="00ED5545" w:rsidP="00C34A34"/>
          <w:p w:rsidR="00ED5545" w:rsidRPr="00B31CDD" w:rsidRDefault="00ED5545" w:rsidP="00C34A34">
            <w:r w:rsidRPr="00B31CDD">
              <w:t>Alternative</w:t>
            </w:r>
            <w:r>
              <w:t>:</w:t>
            </w:r>
          </w:p>
          <w:p w:rsidR="00ED5545" w:rsidRPr="00D36E64" w:rsidRDefault="00ED5545" w:rsidP="00C34A34">
            <w:pPr>
              <w:rPr>
                <w:b/>
              </w:rPr>
            </w:pPr>
            <w:r w:rsidRPr="00D36E64">
              <w:rPr>
                <w:b/>
              </w:rPr>
              <w:t>Clindamycin i.v.</w:t>
            </w:r>
          </w:p>
          <w:p w:rsidR="00ED5545" w:rsidRPr="00B31CDD" w:rsidRDefault="00ED5545" w:rsidP="00C34A34">
            <w:r w:rsidRPr="00B31CDD">
              <w:t>&lt;80 kg: 600 mg</w:t>
            </w:r>
          </w:p>
          <w:p w:rsidR="00ED5545" w:rsidRDefault="00ED5545" w:rsidP="00C34A34">
            <w:r w:rsidRPr="00B31CDD">
              <w:t>&gt;80 kg: 900 mg</w:t>
            </w:r>
          </w:p>
          <w:p w:rsidR="00ED5545" w:rsidRDefault="00ED5545" w:rsidP="00C34A34"/>
          <w:p w:rsidR="00ED5545" w:rsidRDefault="00ED5545" w:rsidP="00C34A34"/>
        </w:tc>
      </w:tr>
    </w:tbl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Pr="0049361D" w:rsidRDefault="0045536B" w:rsidP="0045536B">
      <w:pPr>
        <w:rPr>
          <w:b/>
          <w:sz w:val="28"/>
          <w:szCs w:val="28"/>
        </w:rPr>
      </w:pPr>
      <w:r w:rsidRPr="0049361D">
        <w:rPr>
          <w:b/>
          <w:sz w:val="28"/>
          <w:szCs w:val="28"/>
        </w:rPr>
        <w:t>Urologie</w:t>
      </w:r>
    </w:p>
    <w:p w:rsidR="0045536B" w:rsidRDefault="0045536B" w:rsidP="0045536B">
      <w:r>
        <w:t>Erwähnung einer unbehandelten präoperativen Bakteriurie ?</w:t>
      </w:r>
    </w:p>
    <w:p w:rsidR="0045536B" w:rsidRDefault="0045536B" w:rsidP="0045536B"/>
    <w:tbl>
      <w:tblPr>
        <w:tblStyle w:val="TabellenrasterLUKS1"/>
        <w:tblW w:w="0" w:type="auto"/>
        <w:tblLook w:val="04A0" w:firstRow="1" w:lastRow="0" w:firstColumn="1" w:lastColumn="0" w:noHBand="0" w:noVBand="1"/>
      </w:tblPr>
      <w:tblGrid>
        <w:gridCol w:w="2552"/>
        <w:gridCol w:w="2146"/>
        <w:gridCol w:w="2784"/>
      </w:tblGrid>
      <w:tr w:rsidR="0045536B" w:rsidTr="00C34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shd w:val="clear" w:color="auto" w:fill="C5DCF3" w:themeFill="accent4" w:themeFillTint="33"/>
          </w:tcPr>
          <w:p w:rsidR="0045536B" w:rsidRPr="00D36E64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Eingriff</w:t>
            </w:r>
          </w:p>
        </w:tc>
        <w:tc>
          <w:tcPr>
            <w:tcW w:w="2146" w:type="dxa"/>
            <w:shd w:val="clear" w:color="auto" w:fill="C5DCF3" w:themeFill="accent4" w:themeFillTint="33"/>
          </w:tcPr>
          <w:p w:rsidR="0045536B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Empfehlung</w:t>
            </w:r>
            <w:r>
              <w:rPr>
                <w:color w:val="auto"/>
              </w:rPr>
              <w:t xml:space="preserve"> </w:t>
            </w:r>
          </w:p>
          <w:p w:rsidR="0045536B" w:rsidRPr="008D0D2E" w:rsidRDefault="0045536B" w:rsidP="00C34A34">
            <w:pPr>
              <w:rPr>
                <w:b w:val="0"/>
                <w:color w:val="auto"/>
              </w:rPr>
            </w:pPr>
            <w:r w:rsidRPr="008D0D2E">
              <w:rPr>
                <w:b w:val="0"/>
                <w:color w:val="auto"/>
              </w:rPr>
              <w:t>(</w:t>
            </w:r>
            <w:r>
              <w:rPr>
                <w:b w:val="0"/>
                <w:color w:val="auto"/>
              </w:rPr>
              <w:t>gilt auch bei "A</w:t>
            </w:r>
            <w:r>
              <w:rPr>
                <w:b w:val="0"/>
                <w:color w:val="auto"/>
              </w:rPr>
              <w:t>l</w:t>
            </w:r>
            <w:r>
              <w:rPr>
                <w:b w:val="0"/>
                <w:color w:val="auto"/>
              </w:rPr>
              <w:t>lergie"-Anamnese</w:t>
            </w:r>
            <w:r w:rsidRPr="008D0D2E">
              <w:rPr>
                <w:b w:val="0"/>
                <w:color w:val="auto"/>
              </w:rPr>
              <w:t xml:space="preserve"> mit makulopapul</w:t>
            </w:r>
            <w:r w:rsidRPr="008D0D2E">
              <w:rPr>
                <w:b w:val="0"/>
                <w:color w:val="auto"/>
              </w:rPr>
              <w:t>ö</w:t>
            </w:r>
            <w:r w:rsidRPr="008D0D2E">
              <w:rPr>
                <w:b w:val="0"/>
                <w:color w:val="auto"/>
              </w:rPr>
              <w:t>sem Exanthem unter Penicillin</w:t>
            </w:r>
            <w:r>
              <w:rPr>
                <w:b w:val="0"/>
                <w:color w:val="auto"/>
              </w:rPr>
              <w:t>-</w:t>
            </w:r>
            <w:r w:rsidRPr="008D0D2E">
              <w:rPr>
                <w:b w:val="0"/>
                <w:color w:val="auto"/>
              </w:rPr>
              <w:t xml:space="preserve"> und anderen B</w:t>
            </w:r>
            <w:r w:rsidRPr="008D0D2E">
              <w:rPr>
                <w:b w:val="0"/>
                <w:color w:val="auto"/>
              </w:rPr>
              <w:t>e</w:t>
            </w:r>
            <w:r w:rsidRPr="008D0D2E">
              <w:rPr>
                <w:b w:val="0"/>
                <w:color w:val="auto"/>
              </w:rPr>
              <w:t>talaktam-Antibiotika)</w:t>
            </w:r>
          </w:p>
        </w:tc>
        <w:tc>
          <w:tcPr>
            <w:tcW w:w="2784" w:type="dxa"/>
            <w:shd w:val="clear" w:color="auto" w:fill="C5DCF3" w:themeFill="accent4" w:themeFillTint="33"/>
          </w:tcPr>
          <w:p w:rsidR="0045536B" w:rsidRPr="00997D59" w:rsidRDefault="0045536B" w:rsidP="00C34A34">
            <w:pPr>
              <w:rPr>
                <w:color w:val="auto"/>
              </w:rPr>
            </w:pPr>
            <w:r w:rsidRPr="00997D59">
              <w:rPr>
                <w:color w:val="auto"/>
              </w:rPr>
              <w:t xml:space="preserve">Alternative </w:t>
            </w:r>
          </w:p>
          <w:p w:rsidR="0045536B" w:rsidRPr="00D36E64" w:rsidRDefault="0045536B" w:rsidP="00C34A34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997D59">
              <w:rPr>
                <w:b w:val="0"/>
                <w:color w:val="auto"/>
              </w:rPr>
              <w:t>bei Anaphylaxie, Bro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chospasmus, Lyell-Syndrom oder Hyperse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sitivitätssyndrom nach Penicillin</w:t>
            </w:r>
            <w:r>
              <w:rPr>
                <w:b w:val="0"/>
                <w:color w:val="auto"/>
              </w:rPr>
              <w:t>-</w:t>
            </w:r>
            <w:r w:rsidRPr="00997D59">
              <w:rPr>
                <w:b w:val="0"/>
                <w:color w:val="auto"/>
              </w:rPr>
              <w:t xml:space="preserve"> oder anderen Be</w:t>
            </w:r>
            <w:r>
              <w:rPr>
                <w:b w:val="0"/>
                <w:color w:val="auto"/>
              </w:rPr>
              <w:t>talaktam-Antibiotikum in der Vorgeschichte)</w:t>
            </w:r>
          </w:p>
        </w:tc>
      </w:tr>
      <w:tr w:rsidR="0045536B" w:rsidTr="00C34A34">
        <w:tc>
          <w:tcPr>
            <w:tcW w:w="2552" w:type="dxa"/>
          </w:tcPr>
          <w:p w:rsidR="0045536B" w:rsidRPr="00556838" w:rsidRDefault="0045536B" w:rsidP="00C34A34">
            <w:pPr>
              <w:rPr>
                <w:b/>
              </w:rPr>
            </w:pPr>
          </w:p>
        </w:tc>
        <w:tc>
          <w:tcPr>
            <w:tcW w:w="2146" w:type="dxa"/>
          </w:tcPr>
          <w:p w:rsidR="0045536B" w:rsidRDefault="0045536B" w:rsidP="00C34A34"/>
        </w:tc>
        <w:tc>
          <w:tcPr>
            <w:tcW w:w="2784" w:type="dxa"/>
          </w:tcPr>
          <w:p w:rsidR="0045536B" w:rsidRPr="00B31CDD" w:rsidRDefault="0045536B" w:rsidP="00C34A34"/>
        </w:tc>
      </w:tr>
      <w:tr w:rsidR="0045536B" w:rsidTr="00C34A34">
        <w:tc>
          <w:tcPr>
            <w:tcW w:w="2552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Urethroskopie, Zyst</w:t>
            </w:r>
            <w:r w:rsidRPr="00201740">
              <w:rPr>
                <w:b/>
              </w:rPr>
              <w:t>s</w:t>
            </w:r>
            <w:r w:rsidRPr="00201740">
              <w:rPr>
                <w:b/>
              </w:rPr>
              <w:t>kopie, einfache re</w:t>
            </w:r>
            <w:r w:rsidRPr="00201740">
              <w:rPr>
                <w:b/>
              </w:rPr>
              <w:t>t</w:t>
            </w:r>
            <w:r w:rsidRPr="00201740">
              <w:rPr>
                <w:b/>
              </w:rPr>
              <w:t>rograde Pyelographie</w:t>
            </w:r>
          </w:p>
        </w:tc>
        <w:tc>
          <w:tcPr>
            <w:tcW w:w="2146" w:type="dxa"/>
          </w:tcPr>
          <w:p w:rsidR="0045536B" w:rsidRPr="004646A9" w:rsidRDefault="0045536B" w:rsidP="00C34A34">
            <w:r w:rsidRPr="004646A9">
              <w:t>Keine Prophylaxe</w:t>
            </w:r>
          </w:p>
        </w:tc>
        <w:tc>
          <w:tcPr>
            <w:tcW w:w="2784" w:type="dxa"/>
          </w:tcPr>
          <w:p w:rsidR="0045536B" w:rsidRPr="0049361D" w:rsidRDefault="0045536B" w:rsidP="00C34A34">
            <w:pPr>
              <w:rPr>
                <w:b/>
              </w:rPr>
            </w:pPr>
          </w:p>
        </w:tc>
      </w:tr>
      <w:tr w:rsidR="0045536B" w:rsidTr="00C34A34">
        <w:tc>
          <w:tcPr>
            <w:tcW w:w="2552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Transrektale Prost</w:t>
            </w:r>
            <w:r w:rsidRPr="00201740">
              <w:rPr>
                <w:b/>
              </w:rPr>
              <w:t>a</w:t>
            </w:r>
            <w:r w:rsidRPr="00201740">
              <w:rPr>
                <w:b/>
              </w:rPr>
              <w:t>tastanzbiopsie</w:t>
            </w:r>
          </w:p>
        </w:tc>
        <w:tc>
          <w:tcPr>
            <w:tcW w:w="2146" w:type="dxa"/>
          </w:tcPr>
          <w:p w:rsidR="0045536B" w:rsidRDefault="0045536B" w:rsidP="00C34A34">
            <w:r w:rsidRPr="00201740">
              <w:rPr>
                <w:b/>
              </w:rPr>
              <w:t>Ciprofloxacin 500mg p.o.</w:t>
            </w:r>
            <w:r>
              <w:t xml:space="preserve"> 12-stündlich für 48 Stunden</w:t>
            </w:r>
          </w:p>
        </w:tc>
        <w:tc>
          <w:tcPr>
            <w:tcW w:w="2784" w:type="dxa"/>
          </w:tcPr>
          <w:p w:rsidR="0045536B" w:rsidRDefault="0045536B" w:rsidP="00C34A34"/>
        </w:tc>
      </w:tr>
      <w:tr w:rsidR="0045536B" w:rsidTr="00C34A34">
        <w:tc>
          <w:tcPr>
            <w:tcW w:w="2552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TUR-Prostata</w:t>
            </w:r>
          </w:p>
        </w:tc>
        <w:tc>
          <w:tcPr>
            <w:tcW w:w="2146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Cotrimoxazol 2 Amp. i.v.</w:t>
            </w:r>
          </w:p>
        </w:tc>
        <w:tc>
          <w:tcPr>
            <w:tcW w:w="2784" w:type="dxa"/>
          </w:tcPr>
          <w:p w:rsidR="0045536B" w:rsidRDefault="0045536B" w:rsidP="00C34A34"/>
        </w:tc>
      </w:tr>
      <w:tr w:rsidR="0045536B" w:rsidTr="00C34A34">
        <w:tc>
          <w:tcPr>
            <w:tcW w:w="2552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TUR-Blase</w:t>
            </w:r>
          </w:p>
        </w:tc>
        <w:tc>
          <w:tcPr>
            <w:tcW w:w="2146" w:type="dxa"/>
          </w:tcPr>
          <w:p w:rsidR="0045536B" w:rsidRDefault="0045536B" w:rsidP="00C34A34">
            <w:r>
              <w:t>Keine Prophylaxe</w:t>
            </w:r>
          </w:p>
        </w:tc>
        <w:tc>
          <w:tcPr>
            <w:tcW w:w="2784" w:type="dxa"/>
          </w:tcPr>
          <w:p w:rsidR="0045536B" w:rsidRDefault="0045536B" w:rsidP="00C34A34"/>
        </w:tc>
      </w:tr>
      <w:tr w:rsidR="0045536B" w:rsidTr="00C34A34">
        <w:tc>
          <w:tcPr>
            <w:tcW w:w="2552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Urethrotomia interna</w:t>
            </w:r>
          </w:p>
        </w:tc>
        <w:tc>
          <w:tcPr>
            <w:tcW w:w="2146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Cotrimoxazol 2 Amp. i.v.</w:t>
            </w:r>
          </w:p>
        </w:tc>
        <w:tc>
          <w:tcPr>
            <w:tcW w:w="2784" w:type="dxa"/>
          </w:tcPr>
          <w:p w:rsidR="0045536B" w:rsidRDefault="0045536B" w:rsidP="00C34A34"/>
        </w:tc>
      </w:tr>
      <w:tr w:rsidR="0045536B" w:rsidTr="00C34A34">
        <w:tc>
          <w:tcPr>
            <w:tcW w:w="2552" w:type="dxa"/>
          </w:tcPr>
          <w:p w:rsidR="0045536B" w:rsidRDefault="0045536B" w:rsidP="00C34A34"/>
        </w:tc>
        <w:tc>
          <w:tcPr>
            <w:tcW w:w="2146" w:type="dxa"/>
          </w:tcPr>
          <w:p w:rsidR="0045536B" w:rsidRDefault="0045536B" w:rsidP="00C34A34"/>
        </w:tc>
        <w:tc>
          <w:tcPr>
            <w:tcW w:w="2784" w:type="dxa"/>
          </w:tcPr>
          <w:p w:rsidR="0045536B" w:rsidRDefault="0045536B" w:rsidP="00C34A34"/>
        </w:tc>
      </w:tr>
      <w:tr w:rsidR="0045536B" w:rsidTr="00C34A34">
        <w:tc>
          <w:tcPr>
            <w:tcW w:w="2552" w:type="dxa"/>
          </w:tcPr>
          <w:p w:rsidR="0045536B" w:rsidRDefault="0045536B" w:rsidP="00C34A34">
            <w:r w:rsidRPr="00201740">
              <w:rPr>
                <w:b/>
              </w:rPr>
              <w:t>Harntrakt mit Darmb</w:t>
            </w:r>
            <w:r w:rsidRPr="00201740">
              <w:rPr>
                <w:b/>
              </w:rPr>
              <w:t>e</w:t>
            </w:r>
            <w:r w:rsidRPr="00201740">
              <w:rPr>
                <w:b/>
              </w:rPr>
              <w:t>teiligung</w:t>
            </w:r>
            <w:r>
              <w:t xml:space="preserve"> (Zystektomie mit Conduit, Pouch, Sphinkterprothese)</w:t>
            </w:r>
          </w:p>
          <w:p w:rsidR="0045536B" w:rsidRDefault="0045536B" w:rsidP="00C34A34"/>
          <w:p w:rsidR="0045536B" w:rsidRDefault="0045536B" w:rsidP="00C34A34"/>
          <w:p w:rsidR="0045536B" w:rsidRDefault="0045536B" w:rsidP="00C34A34"/>
        </w:tc>
        <w:tc>
          <w:tcPr>
            <w:tcW w:w="2146" w:type="dxa"/>
          </w:tcPr>
          <w:p w:rsidR="0045536B" w:rsidRDefault="0045536B" w:rsidP="00C34A34">
            <w:r w:rsidRPr="0049361D">
              <w:rPr>
                <w:b/>
              </w:rPr>
              <w:t>Cefazolin i.v</w:t>
            </w:r>
            <w:r>
              <w:t>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/>
          <w:p w:rsidR="0045536B" w:rsidRDefault="0045536B" w:rsidP="00C34A34">
            <w:r>
              <w:t>plus</w:t>
            </w:r>
          </w:p>
          <w:p w:rsidR="0045536B" w:rsidRDefault="0045536B" w:rsidP="00C34A34">
            <w:r w:rsidRPr="0049361D">
              <w:rPr>
                <w:b/>
              </w:rPr>
              <w:t>Metronidazol i.v</w:t>
            </w:r>
            <w:r>
              <w:t>.</w:t>
            </w:r>
          </w:p>
          <w:p w:rsidR="0045536B" w:rsidRDefault="0045536B" w:rsidP="00C34A34">
            <w:r>
              <w:t>&lt;80 kg: 500 mg</w:t>
            </w:r>
          </w:p>
          <w:p w:rsidR="0045536B" w:rsidRDefault="0045536B" w:rsidP="00C34A34">
            <w:r>
              <w:t>&gt;80 kg: 1000 mg</w:t>
            </w:r>
          </w:p>
        </w:tc>
        <w:tc>
          <w:tcPr>
            <w:tcW w:w="2784" w:type="dxa"/>
          </w:tcPr>
          <w:p w:rsidR="0045536B" w:rsidRPr="0049361D" w:rsidRDefault="0045536B" w:rsidP="00C34A34">
            <w:pPr>
              <w:rPr>
                <w:b/>
              </w:rPr>
            </w:pPr>
            <w:r w:rsidRPr="0049361D">
              <w:rPr>
                <w:b/>
              </w:rPr>
              <w:t xml:space="preserve">Vancomycin </w:t>
            </w:r>
          </w:p>
          <w:p w:rsidR="0045536B" w:rsidRDefault="0045536B" w:rsidP="00C34A34">
            <w:r w:rsidRPr="00B31CDD">
              <w:t xml:space="preserve">20 mg/kg KG </w:t>
            </w:r>
          </w:p>
          <w:p w:rsidR="0045536B" w:rsidRDefault="0045536B" w:rsidP="00C34A34">
            <w:r w:rsidRPr="00B31CDD">
              <w:t>(max. 3000 mg)</w:t>
            </w:r>
          </w:p>
          <w:p w:rsidR="0045536B" w:rsidRPr="00B31CDD" w:rsidRDefault="0045536B" w:rsidP="00C34A34"/>
          <w:p w:rsidR="0045536B" w:rsidRPr="00B31CDD" w:rsidRDefault="0045536B" w:rsidP="00C34A34">
            <w:r>
              <w:t>p</w:t>
            </w:r>
            <w:r w:rsidRPr="00B31CDD">
              <w:t>lus</w:t>
            </w:r>
          </w:p>
          <w:p w:rsidR="0045536B" w:rsidRDefault="0045536B" w:rsidP="00C34A34">
            <w:r w:rsidRPr="0049361D">
              <w:rPr>
                <w:b/>
              </w:rPr>
              <w:t>Gentamicin</w:t>
            </w:r>
            <w:r>
              <w:t xml:space="preserve"> </w:t>
            </w:r>
            <w:r w:rsidRPr="00B31CDD">
              <w:t xml:space="preserve"> </w:t>
            </w:r>
          </w:p>
          <w:p w:rsidR="0045536B" w:rsidRPr="00B31CDD" w:rsidRDefault="0045536B" w:rsidP="00C34A34">
            <w:r w:rsidRPr="00B31CDD">
              <w:t>5 mg/kg KG iv.</w:t>
            </w:r>
          </w:p>
          <w:p w:rsidR="0045536B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B31CDD" w:rsidRDefault="0045536B" w:rsidP="00C34A34">
            <w:r w:rsidRPr="0049361D">
              <w:rPr>
                <w:b/>
              </w:rPr>
              <w:t>Clindamycin i.v</w:t>
            </w:r>
            <w:r w:rsidRPr="00B31CDD">
              <w:t>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  <w:p w:rsidR="0045536B" w:rsidRDefault="0045536B" w:rsidP="00C34A34">
            <w:r>
              <w:t>plus</w:t>
            </w:r>
          </w:p>
          <w:p w:rsidR="0045536B" w:rsidRPr="00B31CDD" w:rsidRDefault="0045536B" w:rsidP="00C34A34">
            <w:r w:rsidRPr="0049361D">
              <w:rPr>
                <w:b/>
              </w:rPr>
              <w:t>Gentamicin</w:t>
            </w:r>
            <w:r>
              <w:t xml:space="preserve">  </w:t>
            </w:r>
            <w:r w:rsidRPr="00B31CDD">
              <w:t xml:space="preserve"> 5 mg/kg KG iv.</w:t>
            </w:r>
          </w:p>
          <w:p w:rsidR="0045536B" w:rsidRPr="00B31CDD" w:rsidRDefault="0045536B" w:rsidP="00C34A34"/>
          <w:p w:rsidR="0045536B" w:rsidRPr="00B31CDD" w:rsidRDefault="0045536B" w:rsidP="00C34A34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:rsidR="0045536B" w:rsidRDefault="0045536B" w:rsidP="00C34A34"/>
        </w:tc>
      </w:tr>
      <w:tr w:rsidR="0045536B" w:rsidTr="00C34A34">
        <w:tc>
          <w:tcPr>
            <w:tcW w:w="2552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Harntrakt ohne Dar</w:t>
            </w:r>
            <w:r w:rsidRPr="00201740">
              <w:rPr>
                <w:b/>
              </w:rPr>
              <w:t>m</w:t>
            </w:r>
            <w:r w:rsidRPr="00201740">
              <w:rPr>
                <w:b/>
              </w:rPr>
              <w:t>beteiligung</w:t>
            </w:r>
          </w:p>
          <w:p w:rsidR="0045536B" w:rsidRDefault="0045536B" w:rsidP="00C34A34">
            <w:r>
              <w:t>(Nephrektomie, Urethraplastik, Ureter</w:t>
            </w:r>
            <w:r>
              <w:t>o</w:t>
            </w:r>
            <w:r>
              <w:t>zystoneostomie)</w:t>
            </w:r>
          </w:p>
        </w:tc>
        <w:tc>
          <w:tcPr>
            <w:tcW w:w="2146" w:type="dxa"/>
          </w:tcPr>
          <w:p w:rsidR="0045536B" w:rsidRDefault="0045536B" w:rsidP="00C34A34">
            <w:r w:rsidRPr="0049361D">
              <w:rPr>
                <w:b/>
              </w:rPr>
              <w:t>Cefazolin i.v</w:t>
            </w:r>
            <w:r>
              <w:t>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/>
        </w:tc>
        <w:tc>
          <w:tcPr>
            <w:tcW w:w="2784" w:type="dxa"/>
          </w:tcPr>
          <w:p w:rsidR="0045536B" w:rsidRPr="0049361D" w:rsidRDefault="0045536B" w:rsidP="00C34A34">
            <w:pPr>
              <w:rPr>
                <w:b/>
              </w:rPr>
            </w:pPr>
            <w:r w:rsidRPr="0049361D">
              <w:rPr>
                <w:b/>
              </w:rPr>
              <w:t xml:space="preserve">Vancomycin </w:t>
            </w:r>
          </w:p>
          <w:p w:rsidR="0045536B" w:rsidRDefault="0045536B" w:rsidP="00C34A34">
            <w:r w:rsidRPr="00B31CDD">
              <w:t xml:space="preserve">20 mg/kg KG </w:t>
            </w:r>
          </w:p>
          <w:p w:rsidR="0045536B" w:rsidRDefault="0045536B" w:rsidP="00C34A34">
            <w:r w:rsidRPr="00B31CDD">
              <w:t>(max. 3000 mg)</w:t>
            </w:r>
          </w:p>
          <w:p w:rsidR="0045536B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B31CDD" w:rsidRDefault="0045536B" w:rsidP="00C34A34">
            <w:r w:rsidRPr="0049361D">
              <w:rPr>
                <w:b/>
              </w:rPr>
              <w:t>Clindamycin i.v</w:t>
            </w:r>
            <w:r w:rsidRPr="00B31CDD">
              <w:t>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</w:tc>
      </w:tr>
      <w:tr w:rsidR="0045536B" w:rsidTr="00C34A34">
        <w:tc>
          <w:tcPr>
            <w:tcW w:w="2552" w:type="dxa"/>
          </w:tcPr>
          <w:p w:rsidR="0045536B" w:rsidRDefault="0045536B" w:rsidP="00C34A34">
            <w:r w:rsidRPr="00201740">
              <w:rPr>
                <w:b/>
              </w:rPr>
              <w:t>Ureterorenoskpie</w:t>
            </w:r>
            <w:r>
              <w:t xml:space="preserve"> (URS) </w:t>
            </w:r>
            <w:r w:rsidRPr="00201740">
              <w:rPr>
                <w:b/>
              </w:rPr>
              <w:t>diagnostisch oder therapeutisch</w:t>
            </w:r>
          </w:p>
        </w:tc>
        <w:tc>
          <w:tcPr>
            <w:tcW w:w="2146" w:type="dxa"/>
          </w:tcPr>
          <w:p w:rsidR="0045536B" w:rsidRDefault="0045536B" w:rsidP="00C34A34">
            <w:r>
              <w:t>Gesteuert durch Urinkultur, falls keine Kultur:</w:t>
            </w:r>
          </w:p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 xml:space="preserve">Cotrimoxazol 2 Amp. i.v. </w:t>
            </w:r>
          </w:p>
        </w:tc>
        <w:tc>
          <w:tcPr>
            <w:tcW w:w="2784" w:type="dxa"/>
          </w:tcPr>
          <w:p w:rsidR="0045536B" w:rsidRDefault="0045536B" w:rsidP="00C34A34"/>
        </w:tc>
      </w:tr>
      <w:tr w:rsidR="0045536B" w:rsidTr="00C34A34">
        <w:tc>
          <w:tcPr>
            <w:tcW w:w="2552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Perkutane Nephr</w:t>
            </w:r>
            <w:r w:rsidRPr="00201740">
              <w:rPr>
                <w:b/>
              </w:rPr>
              <w:t>o</w:t>
            </w:r>
            <w:r w:rsidRPr="00201740">
              <w:rPr>
                <w:b/>
              </w:rPr>
              <w:t xml:space="preserve">litholapaxie </w:t>
            </w:r>
          </w:p>
          <w:p w:rsidR="0045536B" w:rsidRDefault="0045536B" w:rsidP="00C34A34">
            <w:r>
              <w:t>(PNL)</w:t>
            </w:r>
          </w:p>
        </w:tc>
        <w:tc>
          <w:tcPr>
            <w:tcW w:w="2146" w:type="dxa"/>
          </w:tcPr>
          <w:p w:rsidR="0045536B" w:rsidRDefault="0045536B" w:rsidP="00C34A34">
            <w:r>
              <w:t>Gesteuert durch Urinkultur, falls keine Kultur:</w:t>
            </w:r>
          </w:p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Cotrimoxazol 2 Amp. i.v.</w:t>
            </w:r>
          </w:p>
        </w:tc>
        <w:tc>
          <w:tcPr>
            <w:tcW w:w="2784" w:type="dxa"/>
          </w:tcPr>
          <w:p w:rsidR="0045536B" w:rsidRDefault="0045536B" w:rsidP="00C34A34"/>
        </w:tc>
      </w:tr>
      <w:tr w:rsidR="0045536B" w:rsidTr="00C34A34">
        <w:tc>
          <w:tcPr>
            <w:tcW w:w="2552" w:type="dxa"/>
          </w:tcPr>
          <w:p w:rsidR="0045536B" w:rsidRPr="00130C30" w:rsidRDefault="0045536B" w:rsidP="00C34A34">
            <w:pPr>
              <w:rPr>
                <w:b/>
              </w:rPr>
            </w:pPr>
            <w:r w:rsidRPr="00130C30">
              <w:rPr>
                <w:b/>
              </w:rPr>
              <w:t>ESWL</w:t>
            </w:r>
          </w:p>
        </w:tc>
        <w:tc>
          <w:tcPr>
            <w:tcW w:w="2146" w:type="dxa"/>
          </w:tcPr>
          <w:p w:rsidR="0045536B" w:rsidRDefault="0045536B" w:rsidP="00C34A34">
            <w:r>
              <w:t>Keine Prophylaxe</w:t>
            </w:r>
          </w:p>
        </w:tc>
        <w:tc>
          <w:tcPr>
            <w:tcW w:w="2784" w:type="dxa"/>
          </w:tcPr>
          <w:p w:rsidR="0045536B" w:rsidRDefault="0045536B" w:rsidP="00C34A34"/>
        </w:tc>
      </w:tr>
      <w:tr w:rsidR="0045536B" w:rsidTr="00C34A34">
        <w:tc>
          <w:tcPr>
            <w:tcW w:w="2552" w:type="dxa"/>
          </w:tcPr>
          <w:p w:rsidR="0045536B" w:rsidRDefault="0045536B" w:rsidP="00C34A34"/>
        </w:tc>
        <w:tc>
          <w:tcPr>
            <w:tcW w:w="2146" w:type="dxa"/>
          </w:tcPr>
          <w:p w:rsidR="0045536B" w:rsidRDefault="0045536B" w:rsidP="00C34A34"/>
        </w:tc>
        <w:tc>
          <w:tcPr>
            <w:tcW w:w="2784" w:type="dxa"/>
          </w:tcPr>
          <w:p w:rsidR="0045536B" w:rsidRDefault="0045536B" w:rsidP="00C34A34"/>
        </w:tc>
      </w:tr>
      <w:tr w:rsidR="0045536B" w:rsidTr="00C34A34">
        <w:tc>
          <w:tcPr>
            <w:tcW w:w="2552" w:type="dxa"/>
          </w:tcPr>
          <w:p w:rsidR="0045536B" w:rsidRDefault="0045536B" w:rsidP="00C34A34">
            <w:r w:rsidRPr="00201740">
              <w:rPr>
                <w:b/>
              </w:rPr>
              <w:t>Eingriffe äusseres Genitale</w:t>
            </w:r>
            <w:r>
              <w:t xml:space="preserve"> (Zirkumzision, Epididymektomie, S</w:t>
            </w:r>
            <w:r>
              <w:t>e</w:t>
            </w:r>
            <w:r>
              <w:t>micastratio, Orchiekt</w:t>
            </w:r>
            <w:r>
              <w:t>o</w:t>
            </w:r>
            <w:r>
              <w:t>mie, Vasektomie)</w:t>
            </w:r>
          </w:p>
        </w:tc>
        <w:tc>
          <w:tcPr>
            <w:tcW w:w="2146" w:type="dxa"/>
          </w:tcPr>
          <w:p w:rsidR="0045536B" w:rsidRPr="0049361D" w:rsidRDefault="0045536B" w:rsidP="00C34A34">
            <w:pPr>
              <w:rPr>
                <w:b/>
              </w:rPr>
            </w:pPr>
            <w:r>
              <w:t>Keine Prophylaxe</w:t>
            </w:r>
          </w:p>
        </w:tc>
        <w:tc>
          <w:tcPr>
            <w:tcW w:w="2784" w:type="dxa"/>
          </w:tcPr>
          <w:p w:rsidR="0045536B" w:rsidRPr="0049361D" w:rsidRDefault="0045536B" w:rsidP="00C34A34">
            <w:pPr>
              <w:rPr>
                <w:b/>
              </w:rPr>
            </w:pPr>
          </w:p>
        </w:tc>
      </w:tr>
      <w:tr w:rsidR="0045536B" w:rsidTr="00C34A34">
        <w:tc>
          <w:tcPr>
            <w:tcW w:w="2552" w:type="dxa"/>
          </w:tcPr>
          <w:p w:rsidR="0045536B" w:rsidRDefault="0045536B" w:rsidP="00C34A34"/>
        </w:tc>
        <w:tc>
          <w:tcPr>
            <w:tcW w:w="2146" w:type="dxa"/>
          </w:tcPr>
          <w:p w:rsidR="0045536B" w:rsidRDefault="0045536B" w:rsidP="00C34A34"/>
        </w:tc>
        <w:tc>
          <w:tcPr>
            <w:tcW w:w="2784" w:type="dxa"/>
          </w:tcPr>
          <w:p w:rsidR="0045536B" w:rsidRDefault="0045536B" w:rsidP="00C34A34"/>
        </w:tc>
      </w:tr>
    </w:tbl>
    <w:p w:rsidR="0045536B" w:rsidRDefault="0045536B" w:rsidP="0045536B"/>
    <w:p w:rsidR="0045536B" w:rsidRDefault="0045536B" w:rsidP="0045536B">
      <w:r>
        <w:br w:type="page"/>
      </w:r>
    </w:p>
    <w:p w:rsidR="0045536B" w:rsidRPr="00ED574F" w:rsidRDefault="0045536B" w:rsidP="0045536B">
      <w:pPr>
        <w:rPr>
          <w:b/>
          <w:sz w:val="28"/>
          <w:szCs w:val="28"/>
        </w:rPr>
      </w:pPr>
      <w:r w:rsidRPr="00ED574F">
        <w:rPr>
          <w:b/>
          <w:sz w:val="28"/>
          <w:szCs w:val="28"/>
        </w:rPr>
        <w:t>HNO</w:t>
      </w:r>
    </w:p>
    <w:p w:rsidR="0045536B" w:rsidRDefault="0045536B" w:rsidP="0045536B"/>
    <w:tbl>
      <w:tblPr>
        <w:tblStyle w:val="TabellenrasterLUKS1"/>
        <w:tblW w:w="0" w:type="auto"/>
        <w:tblLook w:val="04A0" w:firstRow="1" w:lastRow="0" w:firstColumn="1" w:lastColumn="0" w:noHBand="0" w:noVBand="1"/>
      </w:tblPr>
      <w:tblGrid>
        <w:gridCol w:w="3114"/>
        <w:gridCol w:w="2955"/>
        <w:gridCol w:w="2784"/>
        <w:gridCol w:w="71"/>
        <w:gridCol w:w="364"/>
      </w:tblGrid>
      <w:tr w:rsidR="0045536B" w:rsidTr="00FC2E42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5" w:type="dxa"/>
        </w:trPr>
        <w:tc>
          <w:tcPr>
            <w:tcW w:w="3114" w:type="dxa"/>
            <w:shd w:val="clear" w:color="auto" w:fill="C5DCF3" w:themeFill="accent4" w:themeFillTint="33"/>
          </w:tcPr>
          <w:p w:rsidR="0045536B" w:rsidRPr="00D36E64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Eingriff</w:t>
            </w:r>
          </w:p>
        </w:tc>
        <w:tc>
          <w:tcPr>
            <w:tcW w:w="2955" w:type="dxa"/>
            <w:shd w:val="clear" w:color="auto" w:fill="C5DCF3" w:themeFill="accent4" w:themeFillTint="33"/>
          </w:tcPr>
          <w:p w:rsidR="0045536B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Empfehlung</w:t>
            </w:r>
            <w:r>
              <w:rPr>
                <w:color w:val="auto"/>
              </w:rPr>
              <w:t xml:space="preserve"> </w:t>
            </w:r>
          </w:p>
          <w:p w:rsidR="0045536B" w:rsidRPr="008D0D2E" w:rsidRDefault="0045536B" w:rsidP="00C34A34">
            <w:pPr>
              <w:rPr>
                <w:b w:val="0"/>
                <w:color w:val="auto"/>
              </w:rPr>
            </w:pPr>
            <w:r w:rsidRPr="008D0D2E">
              <w:rPr>
                <w:b w:val="0"/>
                <w:color w:val="auto"/>
              </w:rPr>
              <w:t>(</w:t>
            </w:r>
            <w:r>
              <w:rPr>
                <w:b w:val="0"/>
                <w:color w:val="auto"/>
              </w:rPr>
              <w:t>gilt auch bei "Allergie"-Anamnese</w:t>
            </w:r>
            <w:r w:rsidRPr="008D0D2E">
              <w:rPr>
                <w:b w:val="0"/>
                <w:color w:val="auto"/>
              </w:rPr>
              <w:t xml:space="preserve"> mit makulop</w:t>
            </w:r>
            <w:r w:rsidRPr="008D0D2E">
              <w:rPr>
                <w:b w:val="0"/>
                <w:color w:val="auto"/>
              </w:rPr>
              <w:t>a</w:t>
            </w:r>
            <w:r w:rsidRPr="008D0D2E">
              <w:rPr>
                <w:b w:val="0"/>
                <w:color w:val="auto"/>
              </w:rPr>
              <w:t>pulösem Exanthem unter Penicillin</w:t>
            </w:r>
            <w:r>
              <w:rPr>
                <w:b w:val="0"/>
                <w:color w:val="auto"/>
              </w:rPr>
              <w:t>-</w:t>
            </w:r>
            <w:r w:rsidRPr="008D0D2E">
              <w:rPr>
                <w:b w:val="0"/>
                <w:color w:val="auto"/>
              </w:rPr>
              <w:t xml:space="preserve"> und anderen B</w:t>
            </w:r>
            <w:r w:rsidRPr="008D0D2E">
              <w:rPr>
                <w:b w:val="0"/>
                <w:color w:val="auto"/>
              </w:rPr>
              <w:t>e</w:t>
            </w:r>
            <w:r w:rsidRPr="008D0D2E">
              <w:rPr>
                <w:b w:val="0"/>
                <w:color w:val="auto"/>
              </w:rPr>
              <w:t>talaktam-Antibiotika)</w:t>
            </w:r>
          </w:p>
        </w:tc>
        <w:tc>
          <w:tcPr>
            <w:tcW w:w="2784" w:type="dxa"/>
            <w:shd w:val="clear" w:color="auto" w:fill="C5DCF3" w:themeFill="accent4" w:themeFillTint="33"/>
          </w:tcPr>
          <w:p w:rsidR="0045536B" w:rsidRPr="00997D59" w:rsidRDefault="0045536B" w:rsidP="00C34A34">
            <w:pPr>
              <w:rPr>
                <w:color w:val="auto"/>
              </w:rPr>
            </w:pPr>
            <w:r w:rsidRPr="00997D59">
              <w:rPr>
                <w:color w:val="auto"/>
              </w:rPr>
              <w:t xml:space="preserve">Alternative </w:t>
            </w:r>
          </w:p>
          <w:p w:rsidR="0045536B" w:rsidRPr="00D36E64" w:rsidRDefault="0045536B" w:rsidP="00C34A34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997D59">
              <w:rPr>
                <w:b w:val="0"/>
                <w:color w:val="auto"/>
              </w:rPr>
              <w:t>bei Anaphylaxie, Bro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chospasmus, Lyell-Syndrom oder Hyperse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sitivitätssyndrom nach Penicillin</w:t>
            </w:r>
            <w:r>
              <w:rPr>
                <w:b w:val="0"/>
                <w:color w:val="auto"/>
              </w:rPr>
              <w:t>-</w:t>
            </w:r>
            <w:r w:rsidRPr="00997D59">
              <w:rPr>
                <w:b w:val="0"/>
                <w:color w:val="auto"/>
              </w:rPr>
              <w:t xml:space="preserve"> oder anderen Be</w:t>
            </w:r>
            <w:r>
              <w:rPr>
                <w:b w:val="0"/>
                <w:color w:val="auto"/>
              </w:rPr>
              <w:t>talaktam-Antibiotikum in der Vorgeschichte)</w:t>
            </w: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Hals</w:t>
            </w:r>
          </w:p>
        </w:tc>
        <w:tc>
          <w:tcPr>
            <w:tcW w:w="2955" w:type="dxa"/>
          </w:tcPr>
          <w:p w:rsidR="0045536B" w:rsidRDefault="0045536B" w:rsidP="00C34A34"/>
        </w:tc>
        <w:tc>
          <w:tcPr>
            <w:tcW w:w="2784" w:type="dxa"/>
          </w:tcPr>
          <w:p w:rsidR="0045536B" w:rsidRDefault="0045536B" w:rsidP="00C34A34"/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Neck dissection</w:t>
            </w:r>
          </w:p>
        </w:tc>
        <w:tc>
          <w:tcPr>
            <w:tcW w:w="2955" w:type="dxa"/>
          </w:tcPr>
          <w:p w:rsidR="0045536B" w:rsidRDefault="0045536B" w:rsidP="00C34A34">
            <w:r>
              <w:t>Keine Prophylaxe</w:t>
            </w:r>
          </w:p>
        </w:tc>
        <w:tc>
          <w:tcPr>
            <w:tcW w:w="2784" w:type="dxa"/>
          </w:tcPr>
          <w:p w:rsidR="0045536B" w:rsidRDefault="0045536B" w:rsidP="00C34A34"/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Laryngektomie</w:t>
            </w:r>
          </w:p>
        </w:tc>
        <w:tc>
          <w:tcPr>
            <w:tcW w:w="2955" w:type="dxa"/>
          </w:tcPr>
          <w:p w:rsidR="0045536B" w:rsidRPr="00ED574F" w:rsidRDefault="0045536B" w:rsidP="00C34A34">
            <w:pPr>
              <w:rPr>
                <w:b/>
              </w:rPr>
            </w:pPr>
            <w:r w:rsidRPr="00ED574F">
              <w:rPr>
                <w:b/>
              </w:rPr>
              <w:t>Cefazolin i.v.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/>
        </w:tc>
        <w:tc>
          <w:tcPr>
            <w:tcW w:w="2784" w:type="dxa"/>
          </w:tcPr>
          <w:p w:rsidR="0045536B" w:rsidRPr="00ED574F" w:rsidRDefault="0045536B" w:rsidP="00C34A34">
            <w:pPr>
              <w:rPr>
                <w:b/>
              </w:rPr>
            </w:pPr>
            <w:r w:rsidRPr="00ED574F">
              <w:rPr>
                <w:b/>
              </w:rPr>
              <w:t>Clindamycin i.v.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</w:tc>
      </w:tr>
      <w:tr w:rsidR="0045536B" w:rsidTr="00FC2E42">
        <w:trPr>
          <w:gridAfter w:val="2"/>
          <w:wAfter w:w="435" w:type="dxa"/>
          <w:trHeight w:val="277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Tracheotomie</w:t>
            </w:r>
          </w:p>
        </w:tc>
        <w:tc>
          <w:tcPr>
            <w:tcW w:w="2955" w:type="dxa"/>
          </w:tcPr>
          <w:p w:rsidR="0045536B" w:rsidRDefault="00FC2E42" w:rsidP="00FC2E42">
            <w:r>
              <w:t>Keine Prophylaxe</w:t>
            </w:r>
          </w:p>
        </w:tc>
        <w:tc>
          <w:tcPr>
            <w:tcW w:w="2784" w:type="dxa"/>
          </w:tcPr>
          <w:p w:rsidR="0045536B" w:rsidRDefault="0045536B" w:rsidP="00C34A34"/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Speicheldrüsen-OP</w:t>
            </w:r>
          </w:p>
        </w:tc>
        <w:tc>
          <w:tcPr>
            <w:tcW w:w="2955" w:type="dxa"/>
          </w:tcPr>
          <w:p w:rsidR="0045536B" w:rsidRPr="00ED574F" w:rsidRDefault="0045536B" w:rsidP="00C34A34">
            <w:pPr>
              <w:rPr>
                <w:b/>
              </w:rPr>
            </w:pPr>
            <w:r>
              <w:t>Keine Prophylaxe</w:t>
            </w:r>
          </w:p>
        </w:tc>
        <w:tc>
          <w:tcPr>
            <w:tcW w:w="2784" w:type="dxa"/>
          </w:tcPr>
          <w:p w:rsidR="0045536B" w:rsidRPr="00ED574F" w:rsidRDefault="0045536B" w:rsidP="00C34A34">
            <w:pPr>
              <w:rPr>
                <w:b/>
              </w:rPr>
            </w:pP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Tonsillektomie</w:t>
            </w:r>
          </w:p>
        </w:tc>
        <w:tc>
          <w:tcPr>
            <w:tcW w:w="2955" w:type="dxa"/>
          </w:tcPr>
          <w:p w:rsidR="0045536B" w:rsidRPr="00ED574F" w:rsidRDefault="0045536B" w:rsidP="00C34A34">
            <w:pPr>
              <w:rPr>
                <w:b/>
              </w:rPr>
            </w:pPr>
            <w:r>
              <w:t>Keine Prophylaxe</w:t>
            </w:r>
          </w:p>
        </w:tc>
        <w:tc>
          <w:tcPr>
            <w:tcW w:w="2784" w:type="dxa"/>
          </w:tcPr>
          <w:p w:rsidR="0045536B" w:rsidRPr="00ED574F" w:rsidRDefault="0045536B" w:rsidP="00C34A34">
            <w:pPr>
              <w:rPr>
                <w:b/>
              </w:rPr>
            </w:pP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460AE6" w:rsidRDefault="0045536B" w:rsidP="00C34A34">
            <w:pPr>
              <w:pStyle w:val="Listenabsatz"/>
              <w:numPr>
                <w:ilvl w:val="0"/>
                <w:numId w:val="0"/>
              </w:numPr>
              <w:rPr>
                <w:b/>
              </w:rPr>
            </w:pPr>
            <w:r w:rsidRPr="00460AE6">
              <w:rPr>
                <w:b/>
              </w:rPr>
              <w:t>Laserchirurgie</w:t>
            </w:r>
          </w:p>
          <w:p w:rsidR="0045536B" w:rsidRDefault="0045536B" w:rsidP="00C34A34">
            <w:pPr>
              <w:pStyle w:val="Listenabsatz"/>
              <w:numPr>
                <w:ilvl w:val="0"/>
                <w:numId w:val="33"/>
              </w:numPr>
            </w:pPr>
            <w:r>
              <w:t>Endolaryngeal und bronchial</w:t>
            </w:r>
          </w:p>
        </w:tc>
        <w:tc>
          <w:tcPr>
            <w:tcW w:w="2955" w:type="dxa"/>
          </w:tcPr>
          <w:p w:rsidR="0045536B" w:rsidRDefault="00593CA5" w:rsidP="00593CA5">
            <w:r>
              <w:t>Keine Prophylaxe</w:t>
            </w:r>
          </w:p>
        </w:tc>
        <w:tc>
          <w:tcPr>
            <w:tcW w:w="2784" w:type="dxa"/>
          </w:tcPr>
          <w:p w:rsidR="0045536B" w:rsidRDefault="0045536B" w:rsidP="00593CA5"/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Default="0045536B" w:rsidP="00C34A34"/>
        </w:tc>
        <w:tc>
          <w:tcPr>
            <w:tcW w:w="2955" w:type="dxa"/>
          </w:tcPr>
          <w:p w:rsidR="0045536B" w:rsidRDefault="0045536B" w:rsidP="00C34A34"/>
        </w:tc>
        <w:tc>
          <w:tcPr>
            <w:tcW w:w="2784" w:type="dxa"/>
          </w:tcPr>
          <w:p w:rsidR="0045536B" w:rsidRDefault="0045536B" w:rsidP="00C34A34"/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Nase</w:t>
            </w:r>
          </w:p>
        </w:tc>
        <w:tc>
          <w:tcPr>
            <w:tcW w:w="2955" w:type="dxa"/>
          </w:tcPr>
          <w:p w:rsidR="0045536B" w:rsidRPr="00ED574F" w:rsidRDefault="0045536B" w:rsidP="00C34A34">
            <w:pPr>
              <w:rPr>
                <w:b/>
              </w:rPr>
            </w:pPr>
          </w:p>
        </w:tc>
        <w:tc>
          <w:tcPr>
            <w:tcW w:w="2784" w:type="dxa"/>
          </w:tcPr>
          <w:p w:rsidR="0045536B" w:rsidRPr="00ED574F" w:rsidRDefault="0045536B" w:rsidP="00C34A34">
            <w:pPr>
              <w:rPr>
                <w:b/>
              </w:rPr>
            </w:pP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Septumplastik</w:t>
            </w:r>
          </w:p>
        </w:tc>
        <w:tc>
          <w:tcPr>
            <w:tcW w:w="2955" w:type="dxa"/>
          </w:tcPr>
          <w:p w:rsidR="0045536B" w:rsidRPr="00ED574F" w:rsidRDefault="0045536B" w:rsidP="00C34A34">
            <w:pPr>
              <w:rPr>
                <w:b/>
              </w:rPr>
            </w:pPr>
            <w:r>
              <w:t>Keine Prophylaxe</w:t>
            </w:r>
          </w:p>
        </w:tc>
        <w:tc>
          <w:tcPr>
            <w:tcW w:w="2784" w:type="dxa"/>
          </w:tcPr>
          <w:p w:rsidR="0045536B" w:rsidRPr="00ED574F" w:rsidRDefault="0045536B" w:rsidP="00C34A34">
            <w:pPr>
              <w:rPr>
                <w:b/>
              </w:rPr>
            </w:pPr>
          </w:p>
        </w:tc>
      </w:tr>
      <w:tr w:rsidR="00A4718A" w:rsidTr="00FC2E42">
        <w:trPr>
          <w:gridAfter w:val="2"/>
          <w:wAfter w:w="435" w:type="dxa"/>
        </w:trPr>
        <w:tc>
          <w:tcPr>
            <w:tcW w:w="3114" w:type="dxa"/>
          </w:tcPr>
          <w:p w:rsidR="00A4718A" w:rsidRPr="00201740" w:rsidRDefault="00A4718A" w:rsidP="00C34A34">
            <w:pPr>
              <w:rPr>
                <w:b/>
              </w:rPr>
            </w:pPr>
            <w:r w:rsidRPr="00201740">
              <w:rPr>
                <w:b/>
              </w:rPr>
              <w:t>Septorhinoplastik</w:t>
            </w:r>
            <w:r>
              <w:rPr>
                <w:b/>
              </w:rPr>
              <w:t>, g</w:t>
            </w:r>
            <w:r>
              <w:rPr>
                <w:b/>
              </w:rPr>
              <w:t>e</w:t>
            </w:r>
            <w:r>
              <w:rPr>
                <w:b/>
              </w:rPr>
              <w:t>schlossen, ohne Tran</w:t>
            </w:r>
            <w:r>
              <w:rPr>
                <w:b/>
              </w:rPr>
              <w:t>s</w:t>
            </w:r>
            <w:r>
              <w:rPr>
                <w:b/>
              </w:rPr>
              <w:t>plantat/Implantat</w:t>
            </w:r>
          </w:p>
        </w:tc>
        <w:tc>
          <w:tcPr>
            <w:tcW w:w="2955" w:type="dxa"/>
          </w:tcPr>
          <w:p w:rsidR="00A4718A" w:rsidRDefault="00A4718A" w:rsidP="00C34A34">
            <w:r>
              <w:t>Keine Prophylaxe</w:t>
            </w:r>
          </w:p>
        </w:tc>
        <w:tc>
          <w:tcPr>
            <w:tcW w:w="2784" w:type="dxa"/>
          </w:tcPr>
          <w:p w:rsidR="00A4718A" w:rsidRPr="00ED574F" w:rsidRDefault="00A4718A" w:rsidP="00C34A34">
            <w:pPr>
              <w:rPr>
                <w:b/>
              </w:rPr>
            </w:pP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Septorhinoplastik</w:t>
            </w:r>
            <w:r w:rsidR="00A4718A">
              <w:rPr>
                <w:b/>
              </w:rPr>
              <w:t>, offen und/oder mit Transpla</w:t>
            </w:r>
            <w:r w:rsidR="00A4718A">
              <w:rPr>
                <w:b/>
              </w:rPr>
              <w:t>n</w:t>
            </w:r>
            <w:r w:rsidR="00A4718A">
              <w:rPr>
                <w:b/>
              </w:rPr>
              <w:t>tat/Implantat</w:t>
            </w:r>
          </w:p>
          <w:p w:rsidR="00A4718A" w:rsidRDefault="00A4718A" w:rsidP="00C34A34">
            <w:pPr>
              <w:rPr>
                <w:b/>
              </w:rPr>
            </w:pPr>
          </w:p>
          <w:p w:rsidR="00A4718A" w:rsidRDefault="00A4718A" w:rsidP="00C34A34">
            <w:pPr>
              <w:rPr>
                <w:b/>
              </w:rPr>
            </w:pPr>
          </w:p>
          <w:p w:rsidR="00A4718A" w:rsidRPr="00201740" w:rsidRDefault="00A4718A" w:rsidP="00C34A34">
            <w:pPr>
              <w:rPr>
                <w:b/>
              </w:rPr>
            </w:pPr>
            <w:r>
              <w:rPr>
                <w:b/>
              </w:rPr>
              <w:t>Transplantate/Implantate</w:t>
            </w:r>
          </w:p>
        </w:tc>
        <w:tc>
          <w:tcPr>
            <w:tcW w:w="2955" w:type="dxa"/>
          </w:tcPr>
          <w:p w:rsidR="0045536B" w:rsidRPr="00ED574F" w:rsidRDefault="0045536B" w:rsidP="00C34A34">
            <w:pPr>
              <w:rPr>
                <w:b/>
              </w:rPr>
            </w:pPr>
            <w:r w:rsidRPr="00ED574F">
              <w:rPr>
                <w:b/>
              </w:rPr>
              <w:t>Cefazolin i.v.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A4718A" w:rsidRDefault="00A4718A" w:rsidP="00C34A34"/>
          <w:p w:rsidR="00A4718A" w:rsidRDefault="00A4718A" w:rsidP="00C34A34"/>
          <w:p w:rsidR="0045536B" w:rsidRDefault="00A4718A" w:rsidP="00C34A34">
            <w:r>
              <w:t>In Ofloxacin-Tropfen (z.B. Floxal Augentropfen) i</w:t>
            </w:r>
            <w:r>
              <w:t>m</w:t>
            </w:r>
            <w:r>
              <w:t>prägnieren</w:t>
            </w:r>
          </w:p>
          <w:p w:rsidR="0045536B" w:rsidRDefault="0045536B" w:rsidP="00C34A34"/>
        </w:tc>
        <w:tc>
          <w:tcPr>
            <w:tcW w:w="2784" w:type="dxa"/>
          </w:tcPr>
          <w:p w:rsidR="0045536B" w:rsidRPr="00ED574F" w:rsidRDefault="0045536B" w:rsidP="00C34A34">
            <w:pPr>
              <w:rPr>
                <w:b/>
              </w:rPr>
            </w:pPr>
            <w:r w:rsidRPr="00ED574F">
              <w:rPr>
                <w:b/>
              </w:rPr>
              <w:t>Clindamycin i.v.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</w:tc>
      </w:tr>
      <w:tr w:rsidR="00A4718A" w:rsidTr="00FC2E42">
        <w:trPr>
          <w:gridAfter w:val="2"/>
          <w:wAfter w:w="435" w:type="dxa"/>
        </w:trPr>
        <w:tc>
          <w:tcPr>
            <w:tcW w:w="3114" w:type="dxa"/>
          </w:tcPr>
          <w:p w:rsidR="00A4718A" w:rsidRPr="00201740" w:rsidRDefault="00A4718A" w:rsidP="00C34A34">
            <w:pPr>
              <w:rPr>
                <w:b/>
              </w:rPr>
            </w:pPr>
            <w:r>
              <w:rPr>
                <w:b/>
              </w:rPr>
              <w:t>NNH-Operationen</w:t>
            </w:r>
          </w:p>
        </w:tc>
        <w:tc>
          <w:tcPr>
            <w:tcW w:w="2955" w:type="dxa"/>
          </w:tcPr>
          <w:p w:rsidR="00A4718A" w:rsidRPr="00A4718A" w:rsidRDefault="00A4718A" w:rsidP="00C34A34">
            <w:r w:rsidRPr="00A4718A">
              <w:t>Keine Prophylaxe</w:t>
            </w:r>
          </w:p>
        </w:tc>
        <w:tc>
          <w:tcPr>
            <w:tcW w:w="2784" w:type="dxa"/>
          </w:tcPr>
          <w:p w:rsidR="00A4718A" w:rsidRPr="00D36E64" w:rsidRDefault="00A4718A" w:rsidP="00C34A34">
            <w:pPr>
              <w:rPr>
                <w:b/>
              </w:rPr>
            </w:pPr>
          </w:p>
        </w:tc>
      </w:tr>
      <w:tr w:rsidR="00A4718A" w:rsidRPr="00A4718A" w:rsidTr="00FC2E42">
        <w:trPr>
          <w:gridAfter w:val="2"/>
          <w:wAfter w:w="435" w:type="dxa"/>
        </w:trPr>
        <w:tc>
          <w:tcPr>
            <w:tcW w:w="3114" w:type="dxa"/>
          </w:tcPr>
          <w:p w:rsidR="00A4718A" w:rsidRDefault="00A4718A" w:rsidP="00C34A34">
            <w:pPr>
              <w:rPr>
                <w:b/>
              </w:rPr>
            </w:pPr>
            <w:r>
              <w:rPr>
                <w:b/>
              </w:rPr>
              <w:t>NNH-Operationen bei ba</w:t>
            </w:r>
            <w:r>
              <w:rPr>
                <w:b/>
              </w:rPr>
              <w:t>k</w:t>
            </w:r>
            <w:r>
              <w:rPr>
                <w:b/>
              </w:rPr>
              <w:t>terieller Superinfektion</w:t>
            </w:r>
          </w:p>
        </w:tc>
        <w:tc>
          <w:tcPr>
            <w:tcW w:w="2955" w:type="dxa"/>
          </w:tcPr>
          <w:p w:rsidR="00A4718A" w:rsidRPr="00A4718A" w:rsidRDefault="00A4718A" w:rsidP="00C34A34">
            <w:r>
              <w:t>Amoxicillin/Clavulansäure 2.2 g i.v.</w:t>
            </w:r>
          </w:p>
        </w:tc>
        <w:tc>
          <w:tcPr>
            <w:tcW w:w="2784" w:type="dxa"/>
          </w:tcPr>
          <w:p w:rsidR="00A4718A" w:rsidRPr="00A4718A" w:rsidRDefault="00A4718A" w:rsidP="00C34A34">
            <w:r w:rsidRPr="00A4718A">
              <w:t xml:space="preserve">Clindamycin 600 mg i.v. </w:t>
            </w:r>
          </w:p>
        </w:tc>
      </w:tr>
      <w:tr w:rsidR="00A4718A" w:rsidTr="00FC2E42">
        <w:trPr>
          <w:gridAfter w:val="2"/>
          <w:wAfter w:w="435" w:type="dxa"/>
        </w:trPr>
        <w:tc>
          <w:tcPr>
            <w:tcW w:w="3114" w:type="dxa"/>
          </w:tcPr>
          <w:p w:rsidR="00A4718A" w:rsidRPr="00201740" w:rsidRDefault="00A4718A" w:rsidP="00C34A34">
            <w:pPr>
              <w:rPr>
                <w:b/>
              </w:rPr>
            </w:pPr>
          </w:p>
        </w:tc>
        <w:tc>
          <w:tcPr>
            <w:tcW w:w="2955" w:type="dxa"/>
          </w:tcPr>
          <w:p w:rsidR="00A4718A" w:rsidRDefault="00A4718A" w:rsidP="00C34A34">
            <w:pPr>
              <w:rPr>
                <w:b/>
              </w:rPr>
            </w:pPr>
          </w:p>
        </w:tc>
        <w:tc>
          <w:tcPr>
            <w:tcW w:w="2784" w:type="dxa"/>
          </w:tcPr>
          <w:p w:rsidR="00A4718A" w:rsidRPr="00D36E64" w:rsidRDefault="00A4718A" w:rsidP="00C34A34">
            <w:pPr>
              <w:rPr>
                <w:b/>
              </w:rPr>
            </w:pP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Ohr</w:t>
            </w:r>
          </w:p>
        </w:tc>
        <w:tc>
          <w:tcPr>
            <w:tcW w:w="2955" w:type="dxa"/>
          </w:tcPr>
          <w:p w:rsidR="0045536B" w:rsidRDefault="0045536B" w:rsidP="00C34A34">
            <w:pPr>
              <w:rPr>
                <w:b/>
              </w:rPr>
            </w:pPr>
          </w:p>
        </w:tc>
        <w:tc>
          <w:tcPr>
            <w:tcW w:w="2784" w:type="dxa"/>
          </w:tcPr>
          <w:p w:rsidR="0045536B" w:rsidRPr="00D36E64" w:rsidRDefault="0045536B" w:rsidP="00C34A34">
            <w:pPr>
              <w:rPr>
                <w:b/>
              </w:rPr>
            </w:pP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Tympanoplastik</w:t>
            </w:r>
          </w:p>
        </w:tc>
        <w:tc>
          <w:tcPr>
            <w:tcW w:w="2955" w:type="dxa"/>
          </w:tcPr>
          <w:p w:rsidR="0045536B" w:rsidRPr="00CE1F5F" w:rsidRDefault="0045536B" w:rsidP="00C34A34">
            <w:r w:rsidRPr="00CE1F5F">
              <w:t>Keine Prophylaxe</w:t>
            </w:r>
          </w:p>
        </w:tc>
        <w:tc>
          <w:tcPr>
            <w:tcW w:w="2784" w:type="dxa"/>
          </w:tcPr>
          <w:p w:rsidR="0045536B" w:rsidRPr="00D36E64" w:rsidRDefault="0045536B" w:rsidP="00C34A34">
            <w:pPr>
              <w:rPr>
                <w:b/>
              </w:rPr>
            </w:pP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Stapedotomie</w:t>
            </w:r>
          </w:p>
        </w:tc>
        <w:tc>
          <w:tcPr>
            <w:tcW w:w="2955" w:type="dxa"/>
          </w:tcPr>
          <w:p w:rsidR="0045536B" w:rsidRPr="00A4718A" w:rsidRDefault="00A4718A" w:rsidP="00C34A34">
            <w:r w:rsidRPr="00A4718A">
              <w:t>Keine Prophylaxe</w:t>
            </w:r>
          </w:p>
          <w:p w:rsidR="0045536B" w:rsidRDefault="0045536B" w:rsidP="00C34A34">
            <w:pPr>
              <w:rPr>
                <w:b/>
              </w:rPr>
            </w:pPr>
          </w:p>
        </w:tc>
        <w:tc>
          <w:tcPr>
            <w:tcW w:w="2784" w:type="dxa"/>
          </w:tcPr>
          <w:p w:rsidR="0045536B" w:rsidRPr="00D36E64" w:rsidRDefault="0045536B" w:rsidP="00C34A34">
            <w:pPr>
              <w:rPr>
                <w:b/>
              </w:rPr>
            </w:pPr>
          </w:p>
        </w:tc>
      </w:tr>
      <w:tr w:rsidR="0045536B" w:rsidTr="00A4718A">
        <w:trPr>
          <w:gridAfter w:val="2"/>
          <w:wAfter w:w="435" w:type="dxa"/>
          <w:trHeight w:val="2399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 xml:space="preserve">Cholesteatom </w:t>
            </w:r>
          </w:p>
          <w:p w:rsidR="0045536B" w:rsidRDefault="0045536B" w:rsidP="00C34A34">
            <w:r w:rsidRPr="00201740">
              <w:rPr>
                <w:b/>
              </w:rPr>
              <w:t>bei fliessendem Ohr</w:t>
            </w:r>
          </w:p>
        </w:tc>
        <w:tc>
          <w:tcPr>
            <w:tcW w:w="2955" w:type="dxa"/>
          </w:tcPr>
          <w:p w:rsidR="00A4718A" w:rsidRPr="00ED574F" w:rsidRDefault="00A4718A" w:rsidP="00A4718A">
            <w:pPr>
              <w:rPr>
                <w:b/>
              </w:rPr>
            </w:pPr>
            <w:r w:rsidRPr="00ED574F">
              <w:rPr>
                <w:b/>
              </w:rPr>
              <w:t>Cefazolin i.v.</w:t>
            </w:r>
          </w:p>
          <w:p w:rsidR="00A4718A" w:rsidRDefault="00A4718A" w:rsidP="00A4718A">
            <w:r>
              <w:t>&lt;120 kg: 2 g</w:t>
            </w:r>
          </w:p>
          <w:p w:rsidR="00A4718A" w:rsidRDefault="00A4718A" w:rsidP="00A4718A">
            <w:r>
              <w:t>&gt;120 kg: 3 g</w:t>
            </w:r>
          </w:p>
          <w:p w:rsidR="00A4718A" w:rsidRDefault="00A4718A" w:rsidP="00C34A34"/>
          <w:p w:rsidR="00A4718A" w:rsidRDefault="00A4718A" w:rsidP="00C34A34">
            <w:r>
              <w:t>oder</w:t>
            </w:r>
          </w:p>
          <w:p w:rsidR="00A4718A" w:rsidRDefault="00A4718A" w:rsidP="00C34A34"/>
          <w:p w:rsidR="0045536B" w:rsidRPr="00A4718A" w:rsidRDefault="0045536B" w:rsidP="00C34A34">
            <w:r w:rsidRPr="00CE1F5F">
              <w:t>Präemptive Therapie basi</w:t>
            </w:r>
            <w:r w:rsidRPr="00CE1F5F">
              <w:t>e</w:t>
            </w:r>
            <w:r w:rsidRPr="00CE1F5F">
              <w:t>rend auf präoperativem Abstrich</w:t>
            </w:r>
          </w:p>
        </w:tc>
        <w:tc>
          <w:tcPr>
            <w:tcW w:w="2784" w:type="dxa"/>
          </w:tcPr>
          <w:p w:rsidR="0045536B" w:rsidRDefault="0045536B" w:rsidP="00C34A34"/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Default="0045536B" w:rsidP="00C34A34"/>
        </w:tc>
        <w:tc>
          <w:tcPr>
            <w:tcW w:w="2955" w:type="dxa"/>
          </w:tcPr>
          <w:p w:rsidR="0045536B" w:rsidRDefault="0045536B" w:rsidP="00C34A34">
            <w:pPr>
              <w:rPr>
                <w:b/>
              </w:rPr>
            </w:pPr>
          </w:p>
        </w:tc>
        <w:tc>
          <w:tcPr>
            <w:tcW w:w="2784" w:type="dxa"/>
          </w:tcPr>
          <w:p w:rsidR="0045536B" w:rsidRPr="00D36E64" w:rsidRDefault="0045536B" w:rsidP="00C34A34">
            <w:pPr>
              <w:rPr>
                <w:b/>
              </w:rPr>
            </w:pP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Cochlea-Implantat</w:t>
            </w:r>
          </w:p>
        </w:tc>
        <w:tc>
          <w:tcPr>
            <w:tcW w:w="2955" w:type="dxa"/>
          </w:tcPr>
          <w:p w:rsidR="002406B4" w:rsidRPr="00D36E64" w:rsidRDefault="002406B4" w:rsidP="002406B4">
            <w:pPr>
              <w:rPr>
                <w:b/>
              </w:rPr>
            </w:pPr>
            <w:r w:rsidRPr="00D36E64">
              <w:rPr>
                <w:b/>
              </w:rPr>
              <w:t>Cefazolin i.v.</w:t>
            </w:r>
            <w:r>
              <w:rPr>
                <w:b/>
              </w:rPr>
              <w:t xml:space="preserve"> 6-stündlich über 24 h, total 4 Dosen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84" w:type="dxa"/>
          </w:tcPr>
          <w:p w:rsidR="0045536B" w:rsidRPr="00ED574F" w:rsidRDefault="0045536B" w:rsidP="00C34A34">
            <w:pPr>
              <w:rPr>
                <w:b/>
              </w:rPr>
            </w:pPr>
            <w:r w:rsidRPr="00ED574F">
              <w:rPr>
                <w:b/>
              </w:rPr>
              <w:t>Clindamycin i.v.</w:t>
            </w:r>
            <w:r w:rsidR="002406B4">
              <w:rPr>
                <w:b/>
              </w:rPr>
              <w:t xml:space="preserve"> 8-stündlich über 24 h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Pr="00D36E64" w:rsidRDefault="0045536B" w:rsidP="00C34A34">
            <w:pPr>
              <w:rPr>
                <w:b/>
              </w:rPr>
            </w:pP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Schädelbasis-Eingriffe mit/ohne Eröff</w:t>
            </w:r>
            <w:r w:rsidR="00C803E2">
              <w:rPr>
                <w:b/>
              </w:rPr>
              <w:t>n</w:t>
            </w:r>
            <w:r w:rsidRPr="00201740">
              <w:rPr>
                <w:b/>
              </w:rPr>
              <w:t>ung der Dura</w:t>
            </w:r>
          </w:p>
        </w:tc>
        <w:tc>
          <w:tcPr>
            <w:tcW w:w="2955" w:type="dxa"/>
          </w:tcPr>
          <w:p w:rsidR="0045536B" w:rsidRPr="00ED574F" w:rsidRDefault="0045536B" w:rsidP="00C34A34">
            <w:pPr>
              <w:rPr>
                <w:b/>
              </w:rPr>
            </w:pPr>
            <w:r w:rsidRPr="00ED574F">
              <w:rPr>
                <w:b/>
              </w:rPr>
              <w:t>Cefazolin i.v.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>
            <w:pPr>
              <w:rPr>
                <w:b/>
              </w:rPr>
            </w:pPr>
          </w:p>
        </w:tc>
        <w:tc>
          <w:tcPr>
            <w:tcW w:w="2784" w:type="dxa"/>
          </w:tcPr>
          <w:p w:rsidR="0045536B" w:rsidRPr="00ED574F" w:rsidRDefault="0045536B" w:rsidP="00C34A34">
            <w:pPr>
              <w:rPr>
                <w:b/>
              </w:rPr>
            </w:pPr>
            <w:r w:rsidRPr="00ED574F">
              <w:rPr>
                <w:b/>
              </w:rPr>
              <w:t>Clindamycin i.v.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Otopexie</w:t>
            </w:r>
          </w:p>
        </w:tc>
        <w:tc>
          <w:tcPr>
            <w:tcW w:w="2955" w:type="dxa"/>
          </w:tcPr>
          <w:p w:rsidR="0045536B" w:rsidRPr="00E91E6F" w:rsidRDefault="0045536B" w:rsidP="00C34A34">
            <w:r w:rsidRPr="00E91E6F">
              <w:t>Keine Prophylaxe</w:t>
            </w:r>
          </w:p>
        </w:tc>
        <w:tc>
          <w:tcPr>
            <w:tcW w:w="2784" w:type="dxa"/>
          </w:tcPr>
          <w:p w:rsidR="0045536B" w:rsidRPr="00ED574F" w:rsidRDefault="0045536B" w:rsidP="00C34A34">
            <w:pPr>
              <w:rPr>
                <w:b/>
              </w:rPr>
            </w:pPr>
          </w:p>
        </w:tc>
      </w:tr>
      <w:tr w:rsidR="0045536B" w:rsidTr="00FC2E42">
        <w:trPr>
          <w:gridAfter w:val="4"/>
          <w:wAfter w:w="6174" w:type="dxa"/>
        </w:trPr>
        <w:tc>
          <w:tcPr>
            <w:tcW w:w="3114" w:type="dxa"/>
          </w:tcPr>
          <w:p w:rsidR="0045536B" w:rsidRDefault="0045536B" w:rsidP="00C34A34"/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28744C" w:rsidP="00C34A34">
            <w:pPr>
              <w:rPr>
                <w:b/>
              </w:rPr>
            </w:pPr>
            <w:r>
              <w:rPr>
                <w:b/>
              </w:rPr>
              <w:t>Ohrmuschelrekonstru</w:t>
            </w:r>
            <w:r w:rsidR="0045536B" w:rsidRPr="00201740">
              <w:rPr>
                <w:b/>
              </w:rPr>
              <w:t>ktion</w:t>
            </w:r>
            <w:r w:rsidR="00A14A25">
              <w:rPr>
                <w:b/>
              </w:rPr>
              <w:t xml:space="preserve"> mit Rippenknorpel</w:t>
            </w:r>
          </w:p>
        </w:tc>
        <w:tc>
          <w:tcPr>
            <w:tcW w:w="2955" w:type="dxa"/>
          </w:tcPr>
          <w:p w:rsidR="0045536B" w:rsidRPr="00ED574F" w:rsidRDefault="0045536B" w:rsidP="00C34A34">
            <w:pPr>
              <w:rPr>
                <w:b/>
              </w:rPr>
            </w:pPr>
            <w:r w:rsidRPr="00ED574F">
              <w:rPr>
                <w:b/>
              </w:rPr>
              <w:t>Cefazolin i.v.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>
            <w:pPr>
              <w:rPr>
                <w:b/>
              </w:rPr>
            </w:pPr>
          </w:p>
        </w:tc>
        <w:tc>
          <w:tcPr>
            <w:tcW w:w="2784" w:type="dxa"/>
          </w:tcPr>
          <w:p w:rsidR="0045536B" w:rsidRPr="00ED574F" w:rsidRDefault="0045536B" w:rsidP="00C34A34">
            <w:pPr>
              <w:rPr>
                <w:b/>
              </w:rPr>
            </w:pPr>
            <w:r w:rsidRPr="00ED574F">
              <w:rPr>
                <w:b/>
              </w:rPr>
              <w:t>Clindamycin i.v.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Mastoidektomie</w:t>
            </w:r>
          </w:p>
        </w:tc>
        <w:tc>
          <w:tcPr>
            <w:tcW w:w="2955" w:type="dxa"/>
          </w:tcPr>
          <w:p w:rsidR="0045536B" w:rsidRPr="00ED574F" w:rsidRDefault="0045536B" w:rsidP="00C34A34">
            <w:pPr>
              <w:rPr>
                <w:b/>
              </w:rPr>
            </w:pPr>
            <w:r>
              <w:t>Keine Prophylaxe</w:t>
            </w:r>
          </w:p>
        </w:tc>
        <w:tc>
          <w:tcPr>
            <w:tcW w:w="2784" w:type="dxa"/>
          </w:tcPr>
          <w:p w:rsidR="0045536B" w:rsidRPr="00ED574F" w:rsidRDefault="0045536B" w:rsidP="00C34A34">
            <w:pPr>
              <w:rPr>
                <w:b/>
              </w:rPr>
            </w:pP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Schädelbasisfraktur</w:t>
            </w:r>
          </w:p>
        </w:tc>
        <w:tc>
          <w:tcPr>
            <w:tcW w:w="2955" w:type="dxa"/>
          </w:tcPr>
          <w:p w:rsidR="0045536B" w:rsidRPr="00ED574F" w:rsidRDefault="0045536B" w:rsidP="00C34A34">
            <w:pPr>
              <w:rPr>
                <w:b/>
              </w:rPr>
            </w:pPr>
            <w:r>
              <w:t>Keine Prophylaxe</w:t>
            </w:r>
          </w:p>
        </w:tc>
        <w:tc>
          <w:tcPr>
            <w:tcW w:w="2784" w:type="dxa"/>
          </w:tcPr>
          <w:p w:rsidR="0045536B" w:rsidRPr="00ED574F" w:rsidRDefault="0045536B" w:rsidP="00C34A34">
            <w:pPr>
              <w:rPr>
                <w:b/>
              </w:rPr>
            </w:pP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Spontane Otoliquorrhoe</w:t>
            </w:r>
          </w:p>
        </w:tc>
        <w:tc>
          <w:tcPr>
            <w:tcW w:w="2955" w:type="dxa"/>
          </w:tcPr>
          <w:p w:rsidR="0045536B" w:rsidRPr="00E91E6F" w:rsidRDefault="0045536B" w:rsidP="00C34A34">
            <w:r w:rsidRPr="00E91E6F">
              <w:t>Keine Prophylaxe</w:t>
            </w:r>
          </w:p>
        </w:tc>
        <w:tc>
          <w:tcPr>
            <w:tcW w:w="2784" w:type="dxa"/>
          </w:tcPr>
          <w:p w:rsidR="0045536B" w:rsidRPr="00D36E64" w:rsidRDefault="0045536B" w:rsidP="00C34A34">
            <w:pPr>
              <w:rPr>
                <w:b/>
              </w:rPr>
            </w:pP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Spontane Rhinoliquorrhoe</w:t>
            </w:r>
          </w:p>
        </w:tc>
        <w:tc>
          <w:tcPr>
            <w:tcW w:w="2955" w:type="dxa"/>
          </w:tcPr>
          <w:p w:rsidR="0045536B" w:rsidRPr="00E91E6F" w:rsidRDefault="0045536B" w:rsidP="00C34A34">
            <w:r w:rsidRPr="00E91E6F">
              <w:t>Keine Prophylaxe</w:t>
            </w:r>
          </w:p>
        </w:tc>
        <w:tc>
          <w:tcPr>
            <w:tcW w:w="2784" w:type="dxa"/>
          </w:tcPr>
          <w:p w:rsidR="0045536B" w:rsidRPr="00D36E64" w:rsidRDefault="0045536B" w:rsidP="00C34A34">
            <w:pPr>
              <w:rPr>
                <w:b/>
              </w:rPr>
            </w:pPr>
          </w:p>
        </w:tc>
      </w:tr>
      <w:tr w:rsidR="0045536B" w:rsidTr="00FC2E42">
        <w:trPr>
          <w:gridAfter w:val="2"/>
          <w:wAfter w:w="435" w:type="dxa"/>
        </w:trPr>
        <w:tc>
          <w:tcPr>
            <w:tcW w:w="3114" w:type="dxa"/>
          </w:tcPr>
          <w:p w:rsidR="0045536B" w:rsidRPr="00201740" w:rsidRDefault="0045536B" w:rsidP="00C34A34">
            <w:pPr>
              <w:rPr>
                <w:b/>
              </w:rPr>
            </w:pPr>
            <w:r w:rsidRPr="00201740">
              <w:rPr>
                <w:b/>
              </w:rPr>
              <w:t>Tumorchirurgie mit mikr</w:t>
            </w:r>
            <w:r w:rsidRPr="00201740">
              <w:rPr>
                <w:b/>
              </w:rPr>
              <w:t>o</w:t>
            </w:r>
            <w:r w:rsidRPr="00201740">
              <w:rPr>
                <w:b/>
              </w:rPr>
              <w:t>vaskulärer Rekonstruktion</w:t>
            </w:r>
          </w:p>
        </w:tc>
        <w:tc>
          <w:tcPr>
            <w:tcW w:w="2955" w:type="dxa"/>
          </w:tcPr>
          <w:p w:rsidR="0045536B" w:rsidRDefault="0045536B" w:rsidP="00C34A34">
            <w:pPr>
              <w:rPr>
                <w:b/>
              </w:rPr>
            </w:pPr>
            <w:r>
              <w:rPr>
                <w:b/>
              </w:rPr>
              <w:t>Amoxicillin/Clavulansäure</w:t>
            </w:r>
          </w:p>
          <w:p w:rsidR="0045536B" w:rsidRPr="00F44A87" w:rsidRDefault="0045536B" w:rsidP="00C34A34">
            <w:r>
              <w:t>2.2g i.v. 8-stündlich für 24h, intraoperative Dosiswiede</w:t>
            </w:r>
            <w:r>
              <w:t>r</w:t>
            </w:r>
            <w:r>
              <w:t>holung alle 4h</w:t>
            </w:r>
          </w:p>
        </w:tc>
        <w:tc>
          <w:tcPr>
            <w:tcW w:w="2784" w:type="dxa"/>
          </w:tcPr>
          <w:p w:rsidR="0045536B" w:rsidRDefault="0045536B" w:rsidP="00C34A34">
            <w:pPr>
              <w:rPr>
                <w:b/>
              </w:rPr>
            </w:pPr>
            <w:r w:rsidRPr="00D36E64">
              <w:rPr>
                <w:b/>
              </w:rPr>
              <w:t xml:space="preserve">Vancomycin </w:t>
            </w:r>
          </w:p>
          <w:p w:rsidR="0045536B" w:rsidRDefault="0045536B" w:rsidP="00C34A34">
            <w:r w:rsidRPr="00B31CDD">
              <w:t xml:space="preserve">20 mg/kg KG </w:t>
            </w:r>
          </w:p>
          <w:p w:rsidR="0045536B" w:rsidRDefault="0045536B" w:rsidP="00C34A34">
            <w:r w:rsidRPr="00B31CDD">
              <w:t>(max. 3000 mg)</w:t>
            </w:r>
          </w:p>
          <w:p w:rsidR="0045536B" w:rsidRDefault="0045536B" w:rsidP="00C34A34">
            <w:r>
              <w:t xml:space="preserve">Plus </w:t>
            </w:r>
          </w:p>
          <w:p w:rsidR="0045536B" w:rsidRDefault="0045536B" w:rsidP="00C34A34">
            <w:r w:rsidRPr="00201740">
              <w:rPr>
                <w:b/>
              </w:rPr>
              <w:t>Ciprofloxacin</w:t>
            </w:r>
            <w:r>
              <w:t xml:space="preserve"> 500mg i.v./p.o 12-stündlich</w:t>
            </w:r>
          </w:p>
          <w:p w:rsidR="0045536B" w:rsidRPr="00B31CDD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D36E64" w:rsidRDefault="0045536B" w:rsidP="00C34A34">
            <w:pPr>
              <w:rPr>
                <w:b/>
              </w:rPr>
            </w:pPr>
            <w:r w:rsidRPr="00D36E64">
              <w:rPr>
                <w:b/>
              </w:rPr>
              <w:t>Clindamycin i.v.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>
            <w:r>
              <w:t>Plus</w:t>
            </w:r>
          </w:p>
          <w:p w:rsidR="0045536B" w:rsidRDefault="0045536B" w:rsidP="00C34A34">
            <w:r w:rsidRPr="00201740">
              <w:rPr>
                <w:b/>
              </w:rPr>
              <w:t>Ciprofloxacin</w:t>
            </w:r>
            <w:r>
              <w:t xml:space="preserve"> 500mg i.v./p.o 12-stündlich</w:t>
            </w:r>
          </w:p>
          <w:p w:rsidR="0045536B" w:rsidRDefault="0045536B" w:rsidP="00C34A34"/>
          <w:p w:rsidR="0045536B" w:rsidRPr="00ED574F" w:rsidRDefault="0045536B" w:rsidP="00C34A34">
            <w:pPr>
              <w:rPr>
                <w:b/>
              </w:rPr>
            </w:pPr>
          </w:p>
        </w:tc>
      </w:tr>
      <w:tr w:rsidR="0045536B" w:rsidTr="00FC2E42">
        <w:tc>
          <w:tcPr>
            <w:tcW w:w="3114" w:type="dxa"/>
          </w:tcPr>
          <w:p w:rsidR="0045536B" w:rsidRDefault="0045536B" w:rsidP="00C34A34"/>
        </w:tc>
        <w:tc>
          <w:tcPr>
            <w:tcW w:w="2955" w:type="dxa"/>
          </w:tcPr>
          <w:p w:rsidR="0045536B" w:rsidRPr="00ED574F" w:rsidRDefault="0045536B" w:rsidP="00C34A34">
            <w:pPr>
              <w:rPr>
                <w:b/>
              </w:rPr>
            </w:pPr>
          </w:p>
        </w:tc>
        <w:tc>
          <w:tcPr>
            <w:tcW w:w="2855" w:type="dxa"/>
            <w:gridSpan w:val="2"/>
          </w:tcPr>
          <w:p w:rsidR="0045536B" w:rsidRPr="00ED574F" w:rsidRDefault="0045536B" w:rsidP="00C34A34">
            <w:pPr>
              <w:rPr>
                <w:b/>
              </w:rPr>
            </w:pPr>
          </w:p>
        </w:tc>
        <w:tc>
          <w:tcPr>
            <w:tcW w:w="364" w:type="dxa"/>
          </w:tcPr>
          <w:p w:rsidR="0045536B" w:rsidRPr="00ED574F" w:rsidRDefault="0045536B" w:rsidP="00C34A34">
            <w:pPr>
              <w:rPr>
                <w:b/>
              </w:rPr>
            </w:pPr>
          </w:p>
        </w:tc>
      </w:tr>
    </w:tbl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Pr="00FB322D" w:rsidRDefault="0045536B" w:rsidP="0045536B">
      <w:pPr>
        <w:rPr>
          <w:b/>
          <w:sz w:val="28"/>
          <w:szCs w:val="28"/>
        </w:rPr>
      </w:pPr>
      <w:r w:rsidRPr="00FB322D">
        <w:rPr>
          <w:b/>
          <w:sz w:val="28"/>
          <w:szCs w:val="28"/>
        </w:rPr>
        <w:t>Kieferchirurgie</w:t>
      </w:r>
    </w:p>
    <w:p w:rsidR="0045536B" w:rsidRDefault="0045536B" w:rsidP="0045536B"/>
    <w:p w:rsidR="0045536B" w:rsidRDefault="0045536B" w:rsidP="0045536B"/>
    <w:tbl>
      <w:tblPr>
        <w:tblStyle w:val="TabellenrasterLUKS1"/>
        <w:tblW w:w="0" w:type="auto"/>
        <w:tblLook w:val="04A0" w:firstRow="1" w:lastRow="0" w:firstColumn="1" w:lastColumn="0" w:noHBand="0" w:noVBand="1"/>
      </w:tblPr>
      <w:tblGrid>
        <w:gridCol w:w="1989"/>
        <w:gridCol w:w="2955"/>
        <w:gridCol w:w="2784"/>
      </w:tblGrid>
      <w:tr w:rsidR="0045536B" w:rsidTr="00C34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9" w:type="dxa"/>
            <w:shd w:val="clear" w:color="auto" w:fill="C5DCF3" w:themeFill="accent4" w:themeFillTint="33"/>
          </w:tcPr>
          <w:p w:rsidR="0045536B" w:rsidRPr="00D36E64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Eingriff</w:t>
            </w:r>
          </w:p>
        </w:tc>
        <w:tc>
          <w:tcPr>
            <w:tcW w:w="2955" w:type="dxa"/>
            <w:shd w:val="clear" w:color="auto" w:fill="C5DCF3" w:themeFill="accent4" w:themeFillTint="33"/>
          </w:tcPr>
          <w:p w:rsidR="0045536B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Empfehlung</w:t>
            </w:r>
            <w:r>
              <w:rPr>
                <w:color w:val="auto"/>
              </w:rPr>
              <w:t xml:space="preserve"> </w:t>
            </w:r>
          </w:p>
          <w:p w:rsidR="0045536B" w:rsidRPr="008D0D2E" w:rsidRDefault="0045536B" w:rsidP="00C34A34">
            <w:pPr>
              <w:rPr>
                <w:b w:val="0"/>
                <w:color w:val="auto"/>
              </w:rPr>
            </w:pPr>
            <w:r w:rsidRPr="008D0D2E">
              <w:rPr>
                <w:b w:val="0"/>
                <w:color w:val="auto"/>
              </w:rPr>
              <w:t>(</w:t>
            </w:r>
            <w:r>
              <w:rPr>
                <w:b w:val="0"/>
                <w:color w:val="auto"/>
              </w:rPr>
              <w:t>gilt auch bei "Allergie"-Anamnese</w:t>
            </w:r>
            <w:r w:rsidRPr="008D0D2E">
              <w:rPr>
                <w:b w:val="0"/>
                <w:color w:val="auto"/>
              </w:rPr>
              <w:t xml:space="preserve"> mit makulop</w:t>
            </w:r>
            <w:r w:rsidRPr="008D0D2E">
              <w:rPr>
                <w:b w:val="0"/>
                <w:color w:val="auto"/>
              </w:rPr>
              <w:t>a</w:t>
            </w:r>
            <w:r w:rsidRPr="008D0D2E">
              <w:rPr>
                <w:b w:val="0"/>
                <w:color w:val="auto"/>
              </w:rPr>
              <w:t>pulösem Exanthem unter Penicillin</w:t>
            </w:r>
            <w:r>
              <w:rPr>
                <w:b w:val="0"/>
                <w:color w:val="auto"/>
              </w:rPr>
              <w:t>-</w:t>
            </w:r>
            <w:r w:rsidRPr="008D0D2E">
              <w:rPr>
                <w:b w:val="0"/>
                <w:color w:val="auto"/>
              </w:rPr>
              <w:t xml:space="preserve"> und anderen B</w:t>
            </w:r>
            <w:r w:rsidRPr="008D0D2E">
              <w:rPr>
                <w:b w:val="0"/>
                <w:color w:val="auto"/>
              </w:rPr>
              <w:t>e</w:t>
            </w:r>
            <w:r w:rsidRPr="008D0D2E">
              <w:rPr>
                <w:b w:val="0"/>
                <w:color w:val="auto"/>
              </w:rPr>
              <w:t>talaktam-Antibiotika)</w:t>
            </w:r>
          </w:p>
        </w:tc>
        <w:tc>
          <w:tcPr>
            <w:tcW w:w="2074" w:type="dxa"/>
            <w:shd w:val="clear" w:color="auto" w:fill="C5DCF3" w:themeFill="accent4" w:themeFillTint="33"/>
          </w:tcPr>
          <w:p w:rsidR="0045536B" w:rsidRPr="00997D59" w:rsidRDefault="0045536B" w:rsidP="00C34A34">
            <w:pPr>
              <w:rPr>
                <w:color w:val="auto"/>
              </w:rPr>
            </w:pPr>
            <w:r w:rsidRPr="00997D59">
              <w:rPr>
                <w:color w:val="auto"/>
              </w:rPr>
              <w:t xml:space="preserve">Alternative </w:t>
            </w:r>
          </w:p>
          <w:p w:rsidR="0045536B" w:rsidRPr="00D36E64" w:rsidRDefault="0045536B" w:rsidP="00C34A34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997D59">
              <w:rPr>
                <w:b w:val="0"/>
                <w:color w:val="auto"/>
              </w:rPr>
              <w:t>bei Anaphylaxie, Bro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chospasmus, Lyell-Syndrom oder Hyperse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sitivitätssyndrom nach Penicillin</w:t>
            </w:r>
            <w:r>
              <w:rPr>
                <w:b w:val="0"/>
                <w:color w:val="auto"/>
              </w:rPr>
              <w:t>-</w:t>
            </w:r>
            <w:r w:rsidRPr="00997D59">
              <w:rPr>
                <w:b w:val="0"/>
                <w:color w:val="auto"/>
              </w:rPr>
              <w:t xml:space="preserve"> oder anderen Be</w:t>
            </w:r>
            <w:r>
              <w:rPr>
                <w:b w:val="0"/>
                <w:color w:val="auto"/>
              </w:rPr>
              <w:t>talaktam-Antibiotikum in der Vorgeschichte)</w:t>
            </w:r>
          </w:p>
        </w:tc>
      </w:tr>
      <w:tr w:rsidR="0045536B" w:rsidTr="00C34A34">
        <w:tc>
          <w:tcPr>
            <w:tcW w:w="1939" w:type="dxa"/>
          </w:tcPr>
          <w:p w:rsidR="0045536B" w:rsidRPr="00556838" w:rsidRDefault="0045536B" w:rsidP="00C34A34">
            <w:pPr>
              <w:rPr>
                <w:b/>
              </w:rPr>
            </w:pPr>
          </w:p>
        </w:tc>
        <w:tc>
          <w:tcPr>
            <w:tcW w:w="2955" w:type="dxa"/>
          </w:tcPr>
          <w:p w:rsidR="0045536B" w:rsidRDefault="0045536B" w:rsidP="00C34A34"/>
        </w:tc>
        <w:tc>
          <w:tcPr>
            <w:tcW w:w="2074" w:type="dxa"/>
          </w:tcPr>
          <w:p w:rsidR="0045536B" w:rsidRPr="00B31CDD" w:rsidRDefault="0045536B" w:rsidP="00C34A34"/>
        </w:tc>
      </w:tr>
      <w:tr w:rsidR="0045536B" w:rsidTr="00C34A34">
        <w:tc>
          <w:tcPr>
            <w:tcW w:w="1939" w:type="dxa"/>
          </w:tcPr>
          <w:p w:rsidR="0045536B" w:rsidRDefault="0045536B" w:rsidP="00C34A34">
            <w:pPr>
              <w:rPr>
                <w:b/>
              </w:rPr>
            </w:pPr>
          </w:p>
        </w:tc>
        <w:tc>
          <w:tcPr>
            <w:tcW w:w="2955" w:type="dxa"/>
          </w:tcPr>
          <w:p w:rsidR="0045536B" w:rsidRDefault="0045536B" w:rsidP="00C34A34">
            <w:pPr>
              <w:rPr>
                <w:b/>
              </w:rPr>
            </w:pPr>
          </w:p>
        </w:tc>
        <w:tc>
          <w:tcPr>
            <w:tcW w:w="2074" w:type="dxa"/>
          </w:tcPr>
          <w:p w:rsidR="0045536B" w:rsidRPr="00ED574F" w:rsidRDefault="0045536B" w:rsidP="00C34A34">
            <w:pPr>
              <w:rPr>
                <w:b/>
              </w:rPr>
            </w:pPr>
          </w:p>
        </w:tc>
      </w:tr>
      <w:tr w:rsidR="0045536B" w:rsidTr="00C34A34">
        <w:tc>
          <w:tcPr>
            <w:tcW w:w="1939" w:type="dxa"/>
          </w:tcPr>
          <w:p w:rsidR="0045536B" w:rsidRPr="00E91E6F" w:rsidRDefault="0045536B" w:rsidP="00C34A34">
            <w:pPr>
              <w:rPr>
                <w:b/>
              </w:rPr>
            </w:pPr>
            <w:r w:rsidRPr="00E91E6F">
              <w:rPr>
                <w:b/>
              </w:rPr>
              <w:t>Spalten-Chirurgie</w:t>
            </w:r>
            <w:r>
              <w:rPr>
                <w:b/>
              </w:rPr>
              <w:t xml:space="preserve">, </w:t>
            </w:r>
            <w:r w:rsidRPr="00E91E6F">
              <w:rPr>
                <w:b/>
              </w:rPr>
              <w:t>Ost</w:t>
            </w:r>
            <w:r w:rsidRPr="00E91E6F">
              <w:rPr>
                <w:b/>
              </w:rPr>
              <w:t>e</w:t>
            </w:r>
            <w:r w:rsidRPr="00E91E6F">
              <w:rPr>
                <w:b/>
              </w:rPr>
              <w:t>osynthesen</w:t>
            </w:r>
            <w:r>
              <w:rPr>
                <w:b/>
              </w:rPr>
              <w:t xml:space="preserve">, </w:t>
            </w:r>
            <w:r w:rsidRPr="00E91E6F">
              <w:rPr>
                <w:b/>
              </w:rPr>
              <w:t>Umstellungs-Osteotomien</w:t>
            </w:r>
            <w:r>
              <w:rPr>
                <w:b/>
              </w:rPr>
              <w:t xml:space="preserve">, </w:t>
            </w:r>
            <w:r w:rsidRPr="00E91E6F">
              <w:rPr>
                <w:b/>
              </w:rPr>
              <w:t>Lappenplastiken</w:t>
            </w:r>
          </w:p>
        </w:tc>
        <w:tc>
          <w:tcPr>
            <w:tcW w:w="2955" w:type="dxa"/>
          </w:tcPr>
          <w:p w:rsidR="0045536B" w:rsidRPr="00ED574F" w:rsidRDefault="0045536B" w:rsidP="00C34A34">
            <w:pPr>
              <w:rPr>
                <w:b/>
              </w:rPr>
            </w:pPr>
            <w:r>
              <w:rPr>
                <w:b/>
              </w:rPr>
              <w:t xml:space="preserve">Amoxicillin/Clavulansäure 2.2g iv. </w:t>
            </w:r>
          </w:p>
        </w:tc>
        <w:tc>
          <w:tcPr>
            <w:tcW w:w="2074" w:type="dxa"/>
          </w:tcPr>
          <w:p w:rsidR="0045536B" w:rsidRPr="00B31CDD" w:rsidRDefault="0045536B" w:rsidP="00C34A34">
            <w:r w:rsidRPr="00ED574F">
              <w:rPr>
                <w:b/>
              </w:rPr>
              <w:t>Clindamycin i.v</w:t>
            </w:r>
            <w:r w:rsidRPr="00B31CDD">
              <w:t>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  <w:p w:rsidR="0045536B" w:rsidRPr="00ED574F" w:rsidRDefault="0045536B" w:rsidP="00C34A34">
            <w:pPr>
              <w:rPr>
                <w:b/>
              </w:rPr>
            </w:pPr>
          </w:p>
        </w:tc>
      </w:tr>
      <w:tr w:rsidR="0045536B" w:rsidTr="00C34A34">
        <w:tc>
          <w:tcPr>
            <w:tcW w:w="1939" w:type="dxa"/>
          </w:tcPr>
          <w:p w:rsidR="0045536B" w:rsidRDefault="0045536B" w:rsidP="00C34A34">
            <w:pPr>
              <w:rPr>
                <w:b/>
              </w:rPr>
            </w:pPr>
            <w:r>
              <w:rPr>
                <w:b/>
              </w:rPr>
              <w:t>OSME</w:t>
            </w:r>
          </w:p>
        </w:tc>
        <w:tc>
          <w:tcPr>
            <w:tcW w:w="2955" w:type="dxa"/>
          </w:tcPr>
          <w:p w:rsidR="0045536B" w:rsidRDefault="0045536B" w:rsidP="00C34A34">
            <w:pPr>
              <w:rPr>
                <w:b/>
              </w:rPr>
            </w:pPr>
            <w:r>
              <w:rPr>
                <w:b/>
              </w:rPr>
              <w:t>Keine Prophylaxe</w:t>
            </w:r>
          </w:p>
        </w:tc>
        <w:tc>
          <w:tcPr>
            <w:tcW w:w="2074" w:type="dxa"/>
          </w:tcPr>
          <w:p w:rsidR="0045536B" w:rsidRPr="00ED574F" w:rsidRDefault="0045536B" w:rsidP="00C34A34">
            <w:pPr>
              <w:rPr>
                <w:b/>
              </w:rPr>
            </w:pPr>
          </w:p>
        </w:tc>
      </w:tr>
    </w:tbl>
    <w:p w:rsidR="0045536B" w:rsidRDefault="0045536B" w:rsidP="0045536B"/>
    <w:p w:rsidR="0045536B" w:rsidRDefault="0045536B" w:rsidP="0045536B">
      <w:r>
        <w:br w:type="column"/>
      </w:r>
    </w:p>
    <w:p w:rsidR="0045536B" w:rsidRPr="004646A9" w:rsidRDefault="0045536B" w:rsidP="0045536B">
      <w:pPr>
        <w:rPr>
          <w:sz w:val="28"/>
          <w:szCs w:val="28"/>
        </w:rPr>
      </w:pPr>
      <w:r w:rsidRPr="004646A9">
        <w:rPr>
          <w:sz w:val="28"/>
          <w:szCs w:val="28"/>
        </w:rPr>
        <w:t>Plastische Chirurgie</w:t>
      </w:r>
    </w:p>
    <w:p w:rsidR="0045536B" w:rsidRDefault="0045536B" w:rsidP="0045536B"/>
    <w:tbl>
      <w:tblPr>
        <w:tblStyle w:val="TabellenrasterLUKS1"/>
        <w:tblW w:w="0" w:type="auto"/>
        <w:tblLook w:val="04A0" w:firstRow="1" w:lastRow="0" w:firstColumn="1" w:lastColumn="0" w:noHBand="0" w:noVBand="1"/>
      </w:tblPr>
      <w:tblGrid>
        <w:gridCol w:w="1939"/>
        <w:gridCol w:w="2955"/>
        <w:gridCol w:w="2784"/>
      </w:tblGrid>
      <w:tr w:rsidR="0045536B" w:rsidTr="00C34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9" w:type="dxa"/>
            <w:shd w:val="clear" w:color="auto" w:fill="C5DCF3" w:themeFill="accent4" w:themeFillTint="33"/>
          </w:tcPr>
          <w:p w:rsidR="0045536B" w:rsidRPr="00D36E64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Eingriff</w:t>
            </w:r>
          </w:p>
        </w:tc>
        <w:tc>
          <w:tcPr>
            <w:tcW w:w="2955" w:type="dxa"/>
            <w:shd w:val="clear" w:color="auto" w:fill="C5DCF3" w:themeFill="accent4" w:themeFillTint="33"/>
          </w:tcPr>
          <w:p w:rsidR="0045536B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Empfehlung</w:t>
            </w:r>
            <w:r>
              <w:rPr>
                <w:color w:val="auto"/>
              </w:rPr>
              <w:t xml:space="preserve"> </w:t>
            </w:r>
          </w:p>
          <w:p w:rsidR="0045536B" w:rsidRPr="008D0D2E" w:rsidRDefault="0045536B" w:rsidP="00C34A34">
            <w:pPr>
              <w:rPr>
                <w:b w:val="0"/>
                <w:color w:val="auto"/>
              </w:rPr>
            </w:pPr>
            <w:r w:rsidRPr="008D0D2E">
              <w:rPr>
                <w:b w:val="0"/>
                <w:color w:val="auto"/>
              </w:rPr>
              <w:t>(</w:t>
            </w:r>
            <w:r>
              <w:rPr>
                <w:b w:val="0"/>
                <w:color w:val="auto"/>
              </w:rPr>
              <w:t>gilt auch bei "Allergie"-Anamnese</w:t>
            </w:r>
            <w:r w:rsidRPr="008D0D2E">
              <w:rPr>
                <w:b w:val="0"/>
                <w:color w:val="auto"/>
              </w:rPr>
              <w:t xml:space="preserve"> mit makulop</w:t>
            </w:r>
            <w:r w:rsidRPr="008D0D2E">
              <w:rPr>
                <w:b w:val="0"/>
                <w:color w:val="auto"/>
              </w:rPr>
              <w:t>a</w:t>
            </w:r>
            <w:r w:rsidRPr="008D0D2E">
              <w:rPr>
                <w:b w:val="0"/>
                <w:color w:val="auto"/>
              </w:rPr>
              <w:t>pulösem Exanthem unter Penicillin</w:t>
            </w:r>
            <w:r>
              <w:rPr>
                <w:b w:val="0"/>
                <w:color w:val="auto"/>
              </w:rPr>
              <w:t>-</w:t>
            </w:r>
            <w:r w:rsidRPr="008D0D2E">
              <w:rPr>
                <w:b w:val="0"/>
                <w:color w:val="auto"/>
              </w:rPr>
              <w:t xml:space="preserve"> und anderen B</w:t>
            </w:r>
            <w:r w:rsidRPr="008D0D2E">
              <w:rPr>
                <w:b w:val="0"/>
                <w:color w:val="auto"/>
              </w:rPr>
              <w:t>e</w:t>
            </w:r>
            <w:r w:rsidRPr="008D0D2E">
              <w:rPr>
                <w:b w:val="0"/>
                <w:color w:val="auto"/>
              </w:rPr>
              <w:t>talaktam-Antibiotika)</w:t>
            </w:r>
          </w:p>
        </w:tc>
        <w:tc>
          <w:tcPr>
            <w:tcW w:w="2074" w:type="dxa"/>
            <w:shd w:val="clear" w:color="auto" w:fill="C5DCF3" w:themeFill="accent4" w:themeFillTint="33"/>
          </w:tcPr>
          <w:p w:rsidR="0045536B" w:rsidRPr="00997D59" w:rsidRDefault="0045536B" w:rsidP="00C34A34">
            <w:pPr>
              <w:rPr>
                <w:color w:val="auto"/>
              </w:rPr>
            </w:pPr>
            <w:r w:rsidRPr="00997D59">
              <w:rPr>
                <w:color w:val="auto"/>
              </w:rPr>
              <w:t xml:space="preserve">Alternative </w:t>
            </w:r>
          </w:p>
          <w:p w:rsidR="0045536B" w:rsidRPr="00D36E64" w:rsidRDefault="0045536B" w:rsidP="00C34A34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997D59">
              <w:rPr>
                <w:b w:val="0"/>
                <w:color w:val="auto"/>
              </w:rPr>
              <w:t>bei Anaphylaxie, Bro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chospasmus, Lyell-Syndrom oder Hyperse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sitivitätssyndrom nach Penicillin</w:t>
            </w:r>
            <w:r>
              <w:rPr>
                <w:b w:val="0"/>
                <w:color w:val="auto"/>
              </w:rPr>
              <w:t>-</w:t>
            </w:r>
            <w:r w:rsidRPr="00997D59">
              <w:rPr>
                <w:b w:val="0"/>
                <w:color w:val="auto"/>
              </w:rPr>
              <w:t xml:space="preserve"> oder anderen Be</w:t>
            </w:r>
            <w:r>
              <w:rPr>
                <w:b w:val="0"/>
                <w:color w:val="auto"/>
              </w:rPr>
              <w:t>talaktam-Antibiotikum in der Vorgeschichte)</w:t>
            </w:r>
          </w:p>
        </w:tc>
      </w:tr>
      <w:tr w:rsidR="0045536B" w:rsidTr="00C34A34">
        <w:tc>
          <w:tcPr>
            <w:tcW w:w="1939" w:type="dxa"/>
          </w:tcPr>
          <w:p w:rsidR="0045536B" w:rsidRPr="00556838" w:rsidRDefault="0045536B" w:rsidP="00C34A34">
            <w:pPr>
              <w:rPr>
                <w:b/>
              </w:rPr>
            </w:pPr>
            <w:r>
              <w:rPr>
                <w:b/>
              </w:rPr>
              <w:t>Plastische Op</w:t>
            </w:r>
            <w:r>
              <w:rPr>
                <w:b/>
              </w:rPr>
              <w:t>e</w:t>
            </w:r>
            <w:r>
              <w:rPr>
                <w:b/>
              </w:rPr>
              <w:t>rationen ohne Risikofaktoren</w:t>
            </w:r>
          </w:p>
        </w:tc>
        <w:tc>
          <w:tcPr>
            <w:tcW w:w="2955" w:type="dxa"/>
          </w:tcPr>
          <w:p w:rsidR="0045536B" w:rsidRDefault="0045536B" w:rsidP="00C34A34"/>
          <w:p w:rsidR="0045536B" w:rsidRDefault="0045536B" w:rsidP="00C34A34">
            <w:r>
              <w:t>Keine Prophylaxe</w:t>
            </w:r>
          </w:p>
        </w:tc>
        <w:tc>
          <w:tcPr>
            <w:tcW w:w="2074" w:type="dxa"/>
          </w:tcPr>
          <w:p w:rsidR="0045536B" w:rsidRPr="00B31CDD" w:rsidRDefault="0045536B" w:rsidP="00C34A34"/>
        </w:tc>
      </w:tr>
      <w:tr w:rsidR="0045536B" w:rsidTr="00C34A34">
        <w:tc>
          <w:tcPr>
            <w:tcW w:w="1939" w:type="dxa"/>
          </w:tcPr>
          <w:p w:rsidR="0045536B" w:rsidRPr="00556838" w:rsidRDefault="0045536B" w:rsidP="00C34A34">
            <w:pPr>
              <w:rPr>
                <w:b/>
              </w:rPr>
            </w:pPr>
            <w:r>
              <w:rPr>
                <w:b/>
              </w:rPr>
              <w:t>Plastische Op</w:t>
            </w:r>
            <w:r>
              <w:rPr>
                <w:b/>
              </w:rPr>
              <w:t>e</w:t>
            </w:r>
            <w:r>
              <w:rPr>
                <w:b/>
              </w:rPr>
              <w:t>rationen mit Risikofaktoren: Implantate, nach Radioth</w:t>
            </w:r>
            <w:r>
              <w:rPr>
                <w:b/>
              </w:rPr>
              <w:t>e</w:t>
            </w:r>
            <w:r>
              <w:rPr>
                <w:b/>
              </w:rPr>
              <w:t>rapie, Eingriffe an der unteren Extremität</w:t>
            </w:r>
          </w:p>
        </w:tc>
        <w:tc>
          <w:tcPr>
            <w:tcW w:w="2955" w:type="dxa"/>
          </w:tcPr>
          <w:p w:rsidR="0045536B" w:rsidRDefault="0045536B" w:rsidP="00C34A34">
            <w:r w:rsidRPr="00ED574F">
              <w:rPr>
                <w:b/>
              </w:rPr>
              <w:t>Cefazolin i.v</w:t>
            </w:r>
            <w:r>
              <w:t>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Pr="00ED574F" w:rsidRDefault="0045536B" w:rsidP="00C34A34">
            <w:pPr>
              <w:rPr>
                <w:b/>
              </w:rPr>
            </w:pPr>
          </w:p>
        </w:tc>
        <w:tc>
          <w:tcPr>
            <w:tcW w:w="2074" w:type="dxa"/>
          </w:tcPr>
          <w:p w:rsidR="0045536B" w:rsidRDefault="0045536B" w:rsidP="00C34A34">
            <w:pPr>
              <w:rPr>
                <w:b/>
              </w:rPr>
            </w:pPr>
            <w:r w:rsidRPr="00ED574F">
              <w:rPr>
                <w:b/>
              </w:rPr>
              <w:t xml:space="preserve">Vancomycin </w:t>
            </w:r>
          </w:p>
          <w:p w:rsidR="0045536B" w:rsidRDefault="0045536B" w:rsidP="00C34A34">
            <w:r w:rsidRPr="000E57E6">
              <w:t>20 mg/kg</w:t>
            </w:r>
            <w:r w:rsidRPr="005302E8">
              <w:rPr>
                <w:b/>
              </w:rPr>
              <w:t xml:space="preserve"> </w:t>
            </w:r>
            <w:r>
              <w:t>KG</w:t>
            </w:r>
          </w:p>
          <w:p w:rsidR="0045536B" w:rsidRDefault="0045536B" w:rsidP="00C34A34">
            <w:r w:rsidRPr="00B31CDD">
              <w:t>(max. 3000 mg)</w:t>
            </w:r>
          </w:p>
          <w:p w:rsidR="0045536B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B31CDD" w:rsidRDefault="0045536B" w:rsidP="00C34A34">
            <w:r w:rsidRPr="00ED574F">
              <w:rPr>
                <w:b/>
              </w:rPr>
              <w:t>Clindamycin i.v</w:t>
            </w:r>
            <w:r w:rsidRPr="00B31CDD">
              <w:t>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Pr="00ED574F" w:rsidRDefault="0045536B" w:rsidP="00C34A34">
            <w:pPr>
              <w:rPr>
                <w:b/>
              </w:rPr>
            </w:pPr>
          </w:p>
        </w:tc>
      </w:tr>
    </w:tbl>
    <w:p w:rsidR="0045536B" w:rsidRDefault="0045536B" w:rsidP="0045536B">
      <w:r>
        <w:br w:type="column"/>
      </w:r>
    </w:p>
    <w:p w:rsidR="0045536B" w:rsidRPr="00ED574F" w:rsidRDefault="0045536B" w:rsidP="0045536B">
      <w:pPr>
        <w:rPr>
          <w:b/>
          <w:sz w:val="28"/>
          <w:szCs w:val="28"/>
        </w:rPr>
      </w:pPr>
      <w:r w:rsidRPr="00ED574F">
        <w:rPr>
          <w:b/>
          <w:sz w:val="28"/>
          <w:szCs w:val="28"/>
        </w:rPr>
        <w:t>Gynäkologie und Geburtshilfe</w:t>
      </w:r>
    </w:p>
    <w:p w:rsidR="0045536B" w:rsidRDefault="0045536B" w:rsidP="0045536B"/>
    <w:tbl>
      <w:tblPr>
        <w:tblStyle w:val="TabellenrasterLUKS1"/>
        <w:tblW w:w="0" w:type="auto"/>
        <w:tblLook w:val="04A0" w:firstRow="1" w:lastRow="0" w:firstColumn="1" w:lastColumn="0" w:noHBand="0" w:noVBand="1"/>
      </w:tblPr>
      <w:tblGrid>
        <w:gridCol w:w="2321"/>
        <w:gridCol w:w="2292"/>
        <w:gridCol w:w="2784"/>
      </w:tblGrid>
      <w:tr w:rsidR="0045536B" w:rsidTr="00C34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21" w:type="dxa"/>
            <w:shd w:val="clear" w:color="auto" w:fill="C5DCF3" w:themeFill="accent4" w:themeFillTint="33"/>
          </w:tcPr>
          <w:p w:rsidR="0045536B" w:rsidRPr="00D36E64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Eingriff</w:t>
            </w:r>
          </w:p>
        </w:tc>
        <w:tc>
          <w:tcPr>
            <w:tcW w:w="2292" w:type="dxa"/>
            <w:shd w:val="clear" w:color="auto" w:fill="C5DCF3" w:themeFill="accent4" w:themeFillTint="33"/>
          </w:tcPr>
          <w:p w:rsidR="0045536B" w:rsidRDefault="0045536B" w:rsidP="00C34A34">
            <w:pPr>
              <w:rPr>
                <w:color w:val="auto"/>
              </w:rPr>
            </w:pPr>
            <w:r w:rsidRPr="00D36E64">
              <w:rPr>
                <w:color w:val="auto"/>
              </w:rPr>
              <w:t>Empfehlung</w:t>
            </w:r>
            <w:r>
              <w:rPr>
                <w:color w:val="auto"/>
              </w:rPr>
              <w:t xml:space="preserve"> </w:t>
            </w:r>
          </w:p>
          <w:p w:rsidR="0045536B" w:rsidRPr="008D0D2E" w:rsidRDefault="0045536B" w:rsidP="00C34A34">
            <w:pPr>
              <w:rPr>
                <w:b w:val="0"/>
                <w:color w:val="auto"/>
              </w:rPr>
            </w:pPr>
            <w:r w:rsidRPr="008D0D2E">
              <w:rPr>
                <w:b w:val="0"/>
                <w:color w:val="auto"/>
              </w:rPr>
              <w:t>(</w:t>
            </w:r>
            <w:r>
              <w:rPr>
                <w:b w:val="0"/>
                <w:color w:val="auto"/>
              </w:rPr>
              <w:t>gilt auch bei "Alle</w:t>
            </w:r>
            <w:r>
              <w:rPr>
                <w:b w:val="0"/>
                <w:color w:val="auto"/>
              </w:rPr>
              <w:t>r</w:t>
            </w:r>
            <w:r>
              <w:rPr>
                <w:b w:val="0"/>
                <w:color w:val="auto"/>
              </w:rPr>
              <w:t>gie"-Anamnese</w:t>
            </w:r>
            <w:r w:rsidRPr="008D0D2E">
              <w:rPr>
                <w:b w:val="0"/>
                <w:color w:val="auto"/>
              </w:rPr>
              <w:t xml:space="preserve"> mit makulopapulösem Exanthem unter P</w:t>
            </w:r>
            <w:r w:rsidRPr="008D0D2E">
              <w:rPr>
                <w:b w:val="0"/>
                <w:color w:val="auto"/>
              </w:rPr>
              <w:t>e</w:t>
            </w:r>
            <w:r w:rsidRPr="008D0D2E">
              <w:rPr>
                <w:b w:val="0"/>
                <w:color w:val="auto"/>
              </w:rPr>
              <w:t>nicillin</w:t>
            </w:r>
            <w:r>
              <w:rPr>
                <w:b w:val="0"/>
                <w:color w:val="auto"/>
              </w:rPr>
              <w:t>-</w:t>
            </w:r>
            <w:r w:rsidRPr="008D0D2E">
              <w:rPr>
                <w:b w:val="0"/>
                <w:color w:val="auto"/>
              </w:rPr>
              <w:t xml:space="preserve"> und anderen Betalaktam-Antibiotika)</w:t>
            </w:r>
          </w:p>
        </w:tc>
        <w:tc>
          <w:tcPr>
            <w:tcW w:w="2784" w:type="dxa"/>
            <w:shd w:val="clear" w:color="auto" w:fill="C5DCF3" w:themeFill="accent4" w:themeFillTint="33"/>
          </w:tcPr>
          <w:p w:rsidR="0045536B" w:rsidRPr="00997D59" w:rsidRDefault="0045536B" w:rsidP="00C34A34">
            <w:pPr>
              <w:rPr>
                <w:color w:val="auto"/>
              </w:rPr>
            </w:pPr>
            <w:r w:rsidRPr="00997D59">
              <w:rPr>
                <w:color w:val="auto"/>
              </w:rPr>
              <w:t xml:space="preserve">Alternative </w:t>
            </w:r>
          </w:p>
          <w:p w:rsidR="0045536B" w:rsidRPr="00D36E64" w:rsidRDefault="0045536B" w:rsidP="00C34A34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997D59">
              <w:rPr>
                <w:b w:val="0"/>
                <w:color w:val="auto"/>
              </w:rPr>
              <w:t>bei Anaphylaxie, Bro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chospasmus, Lyell-Syndrom oder Hyperse</w:t>
            </w:r>
            <w:r w:rsidRPr="00997D59">
              <w:rPr>
                <w:b w:val="0"/>
                <w:color w:val="auto"/>
              </w:rPr>
              <w:t>n</w:t>
            </w:r>
            <w:r w:rsidRPr="00997D59">
              <w:rPr>
                <w:b w:val="0"/>
                <w:color w:val="auto"/>
              </w:rPr>
              <w:t>sitivitätssyndrom nach Penicillin</w:t>
            </w:r>
            <w:r>
              <w:rPr>
                <w:b w:val="0"/>
                <w:color w:val="auto"/>
              </w:rPr>
              <w:t>-</w:t>
            </w:r>
            <w:r w:rsidRPr="00997D59">
              <w:rPr>
                <w:b w:val="0"/>
                <w:color w:val="auto"/>
              </w:rPr>
              <w:t xml:space="preserve"> oder anderen Be</w:t>
            </w:r>
            <w:r>
              <w:rPr>
                <w:b w:val="0"/>
                <w:color w:val="auto"/>
              </w:rPr>
              <w:t>talaktam-Antibiotikum in der Vorgeschichte)</w:t>
            </w:r>
          </w:p>
        </w:tc>
      </w:tr>
      <w:tr w:rsidR="0045536B" w:rsidTr="00C34A34">
        <w:tc>
          <w:tcPr>
            <w:tcW w:w="2321" w:type="dxa"/>
          </w:tcPr>
          <w:p w:rsidR="0045536B" w:rsidRPr="00556838" w:rsidRDefault="0045536B" w:rsidP="00C34A34">
            <w:pPr>
              <w:rPr>
                <w:b/>
              </w:rPr>
            </w:pPr>
          </w:p>
        </w:tc>
        <w:tc>
          <w:tcPr>
            <w:tcW w:w="2292" w:type="dxa"/>
          </w:tcPr>
          <w:p w:rsidR="0045536B" w:rsidRDefault="0045536B" w:rsidP="00C34A34"/>
        </w:tc>
        <w:tc>
          <w:tcPr>
            <w:tcW w:w="2784" w:type="dxa"/>
          </w:tcPr>
          <w:p w:rsidR="0045536B" w:rsidRPr="00B31CDD" w:rsidRDefault="0045536B" w:rsidP="00C34A34"/>
          <w:p w:rsidR="0045536B" w:rsidRPr="00B31CDD" w:rsidRDefault="0045536B" w:rsidP="00C34A34">
            <w:pPr>
              <w:ind w:left="141"/>
            </w:pPr>
          </w:p>
          <w:p w:rsidR="0045536B" w:rsidRPr="00B31CDD" w:rsidRDefault="0045536B" w:rsidP="00C34A34"/>
        </w:tc>
      </w:tr>
      <w:tr w:rsidR="0045536B" w:rsidTr="00C34A34">
        <w:tc>
          <w:tcPr>
            <w:tcW w:w="2321" w:type="dxa"/>
          </w:tcPr>
          <w:p w:rsidR="0045536B" w:rsidRDefault="0045536B" w:rsidP="00C34A34">
            <w:r w:rsidRPr="00A23104">
              <w:rPr>
                <w:b/>
              </w:rPr>
              <w:t>Hysterektomie</w:t>
            </w:r>
            <w:r>
              <w:t xml:space="preserve"> (alle Modalitäten),</w:t>
            </w:r>
          </w:p>
          <w:p w:rsidR="0045536B" w:rsidRPr="00A23104" w:rsidRDefault="0045536B" w:rsidP="00C34A34">
            <w:pPr>
              <w:rPr>
                <w:b/>
              </w:rPr>
            </w:pPr>
            <w:r w:rsidRPr="00A23104">
              <w:rPr>
                <w:b/>
              </w:rPr>
              <w:t>uro-gynäkologische Operationen,</w:t>
            </w:r>
          </w:p>
          <w:p w:rsidR="0045536B" w:rsidRPr="00A23104" w:rsidRDefault="0045536B" w:rsidP="00C34A34">
            <w:pPr>
              <w:rPr>
                <w:b/>
              </w:rPr>
            </w:pPr>
            <w:r w:rsidRPr="00A23104">
              <w:rPr>
                <w:b/>
              </w:rPr>
              <w:t>onkologische Op</w:t>
            </w:r>
            <w:r w:rsidRPr="00A23104">
              <w:rPr>
                <w:b/>
              </w:rPr>
              <w:t>e</w:t>
            </w:r>
            <w:r w:rsidRPr="00A23104">
              <w:rPr>
                <w:b/>
              </w:rPr>
              <w:t>rationen ohne Darmbeteiligung</w:t>
            </w:r>
          </w:p>
          <w:p w:rsidR="0045536B" w:rsidRPr="00556838" w:rsidRDefault="0045536B" w:rsidP="00C34A34">
            <w:pPr>
              <w:rPr>
                <w:b/>
              </w:rPr>
            </w:pPr>
          </w:p>
        </w:tc>
        <w:tc>
          <w:tcPr>
            <w:tcW w:w="2292" w:type="dxa"/>
          </w:tcPr>
          <w:p w:rsidR="0045536B" w:rsidRDefault="0045536B" w:rsidP="00C34A34">
            <w:r w:rsidRPr="00ED574F">
              <w:rPr>
                <w:b/>
              </w:rPr>
              <w:t>Cefazolin i.v</w:t>
            </w:r>
            <w:r>
              <w:t>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Pr="00ED574F" w:rsidRDefault="0045536B" w:rsidP="00C34A34">
            <w:pPr>
              <w:rPr>
                <w:b/>
              </w:rPr>
            </w:pPr>
          </w:p>
        </w:tc>
        <w:tc>
          <w:tcPr>
            <w:tcW w:w="2784" w:type="dxa"/>
          </w:tcPr>
          <w:p w:rsidR="0045536B" w:rsidRDefault="0045536B" w:rsidP="00C34A34">
            <w:pPr>
              <w:rPr>
                <w:b/>
              </w:rPr>
            </w:pPr>
            <w:r w:rsidRPr="00ED574F">
              <w:rPr>
                <w:b/>
              </w:rPr>
              <w:t xml:space="preserve">1. Vancomycin </w:t>
            </w:r>
          </w:p>
          <w:p w:rsidR="0045536B" w:rsidRDefault="0045536B" w:rsidP="00C34A34">
            <w:r w:rsidRPr="000E57E6">
              <w:t>20 mg/kg</w:t>
            </w:r>
            <w:r w:rsidRPr="00B31CDD">
              <w:t xml:space="preserve"> KG </w:t>
            </w:r>
          </w:p>
          <w:p w:rsidR="0045536B" w:rsidRDefault="0045536B" w:rsidP="00C34A34">
            <w:r w:rsidRPr="00B31CDD">
              <w:t>(max. 3000 mg)</w:t>
            </w:r>
          </w:p>
          <w:p w:rsidR="0045536B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B31CDD" w:rsidRDefault="0045536B" w:rsidP="00C34A34">
            <w:r w:rsidRPr="00ED574F">
              <w:rPr>
                <w:b/>
              </w:rPr>
              <w:t>Clindamycin i.v</w:t>
            </w:r>
            <w:r w:rsidRPr="00B31CDD">
              <w:t>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Pr="00ED574F" w:rsidRDefault="0045536B" w:rsidP="00C34A34">
            <w:pPr>
              <w:rPr>
                <w:b/>
              </w:rPr>
            </w:pPr>
          </w:p>
        </w:tc>
      </w:tr>
      <w:tr w:rsidR="0045536B" w:rsidTr="00C34A34">
        <w:tc>
          <w:tcPr>
            <w:tcW w:w="2321" w:type="dxa"/>
          </w:tcPr>
          <w:p w:rsidR="0045536B" w:rsidRPr="00A23104" w:rsidRDefault="0045536B" w:rsidP="00C34A34">
            <w:pPr>
              <w:rPr>
                <w:b/>
              </w:rPr>
            </w:pPr>
            <w:r w:rsidRPr="00A23104">
              <w:rPr>
                <w:b/>
              </w:rPr>
              <w:t>Onkologische Op</w:t>
            </w:r>
            <w:r w:rsidRPr="00A23104">
              <w:rPr>
                <w:b/>
              </w:rPr>
              <w:t>e</w:t>
            </w:r>
            <w:r w:rsidRPr="00A23104">
              <w:rPr>
                <w:b/>
              </w:rPr>
              <w:t>rationen mit Dar</w:t>
            </w:r>
            <w:r w:rsidRPr="00A23104">
              <w:rPr>
                <w:b/>
              </w:rPr>
              <w:t>m</w:t>
            </w:r>
            <w:r w:rsidRPr="00A23104">
              <w:rPr>
                <w:b/>
              </w:rPr>
              <w:t>beteiligung</w:t>
            </w:r>
          </w:p>
          <w:p w:rsidR="0045536B" w:rsidRDefault="0045536B" w:rsidP="00C34A34"/>
        </w:tc>
        <w:tc>
          <w:tcPr>
            <w:tcW w:w="2292" w:type="dxa"/>
          </w:tcPr>
          <w:p w:rsidR="0045536B" w:rsidRDefault="0045536B" w:rsidP="00C34A34">
            <w:r w:rsidRPr="00ED574F">
              <w:rPr>
                <w:b/>
              </w:rPr>
              <w:t>Cefazolin i.v</w:t>
            </w:r>
            <w:r>
              <w:t>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/>
          <w:p w:rsidR="0045536B" w:rsidRDefault="0045536B" w:rsidP="00C34A34">
            <w:r>
              <w:t>plus</w:t>
            </w:r>
          </w:p>
          <w:p w:rsidR="0045536B" w:rsidRDefault="0045536B" w:rsidP="00C34A34">
            <w:r w:rsidRPr="00ED574F">
              <w:rPr>
                <w:b/>
              </w:rPr>
              <w:t>Metronidazol i.v</w:t>
            </w:r>
            <w:r>
              <w:t>.</w:t>
            </w:r>
          </w:p>
          <w:p w:rsidR="0045536B" w:rsidRDefault="0045536B" w:rsidP="00C34A34">
            <w:r>
              <w:t>&lt;80 kg: 500 mg</w:t>
            </w:r>
          </w:p>
          <w:p w:rsidR="0045536B" w:rsidRDefault="0045536B" w:rsidP="00C34A34">
            <w:r>
              <w:t>&gt;80 kg: 1000 mg</w:t>
            </w:r>
          </w:p>
        </w:tc>
        <w:tc>
          <w:tcPr>
            <w:tcW w:w="2784" w:type="dxa"/>
          </w:tcPr>
          <w:p w:rsidR="0045536B" w:rsidRDefault="0045536B" w:rsidP="00C34A34">
            <w:pPr>
              <w:rPr>
                <w:b/>
              </w:rPr>
            </w:pPr>
            <w:r w:rsidRPr="00ED574F">
              <w:rPr>
                <w:b/>
              </w:rPr>
              <w:t xml:space="preserve">Vancomycin </w:t>
            </w:r>
          </w:p>
          <w:p w:rsidR="0045536B" w:rsidRDefault="0045536B" w:rsidP="00C34A34">
            <w:r w:rsidRPr="00B31CDD">
              <w:t xml:space="preserve">20 mg/kg KG </w:t>
            </w:r>
          </w:p>
          <w:p w:rsidR="0045536B" w:rsidRDefault="0045536B" w:rsidP="00C34A34">
            <w:r w:rsidRPr="00B31CDD">
              <w:t>(max. 3000 mg)</w:t>
            </w:r>
          </w:p>
          <w:p w:rsidR="0045536B" w:rsidRPr="00B31CDD" w:rsidRDefault="0045536B" w:rsidP="00C34A34"/>
          <w:p w:rsidR="0045536B" w:rsidRPr="00B31CDD" w:rsidRDefault="0045536B" w:rsidP="00C34A34">
            <w:r>
              <w:t>p</w:t>
            </w:r>
            <w:r w:rsidRPr="00B31CDD">
              <w:t>lus</w:t>
            </w:r>
          </w:p>
          <w:p w:rsidR="0045536B" w:rsidRDefault="0045536B" w:rsidP="00C34A34">
            <w:r w:rsidRPr="00ED574F">
              <w:rPr>
                <w:b/>
              </w:rPr>
              <w:t>Gentamicin</w:t>
            </w:r>
            <w:r w:rsidRPr="00B31CDD">
              <w:t xml:space="preserve"> </w:t>
            </w:r>
            <w:r>
              <w:t xml:space="preserve"> </w:t>
            </w:r>
            <w:r w:rsidRPr="00B31CDD">
              <w:t xml:space="preserve"> </w:t>
            </w:r>
          </w:p>
          <w:p w:rsidR="0045536B" w:rsidRPr="00B31CDD" w:rsidRDefault="0045536B" w:rsidP="00C34A34">
            <w:r w:rsidRPr="00B31CDD">
              <w:t>5 mg/kg KG iv.</w:t>
            </w:r>
          </w:p>
          <w:p w:rsidR="0045536B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B31CDD" w:rsidRDefault="0045536B" w:rsidP="00C34A34">
            <w:r w:rsidRPr="00ED574F">
              <w:rPr>
                <w:b/>
              </w:rPr>
              <w:t>Clindamycin i.v</w:t>
            </w:r>
            <w:r w:rsidRPr="00B31CDD">
              <w:t>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  <w:p w:rsidR="0045536B" w:rsidRDefault="0045536B" w:rsidP="00C34A34">
            <w:r>
              <w:t>plus</w:t>
            </w:r>
          </w:p>
          <w:p w:rsidR="0045536B" w:rsidRDefault="0045536B" w:rsidP="00C34A34">
            <w:r w:rsidRPr="00ED574F">
              <w:rPr>
                <w:b/>
              </w:rPr>
              <w:t>Gentamicin</w:t>
            </w:r>
            <w:r>
              <w:t xml:space="preserve">  </w:t>
            </w:r>
            <w:r w:rsidRPr="00B31CDD">
              <w:t xml:space="preserve"> </w:t>
            </w:r>
          </w:p>
          <w:p w:rsidR="0045536B" w:rsidRPr="00B31CDD" w:rsidRDefault="0045536B" w:rsidP="00C34A34">
            <w:r w:rsidRPr="00B31CDD">
              <w:t>5 mg/kg KG iv.</w:t>
            </w:r>
          </w:p>
          <w:p w:rsidR="0045536B" w:rsidRPr="00B31CDD" w:rsidRDefault="0045536B" w:rsidP="00C34A34"/>
          <w:p w:rsidR="0045536B" w:rsidRPr="00ED574F" w:rsidRDefault="0045536B" w:rsidP="00C34A34">
            <w:pPr>
              <w:rPr>
                <w:b/>
              </w:rPr>
            </w:pPr>
          </w:p>
        </w:tc>
      </w:tr>
      <w:tr w:rsidR="0045536B" w:rsidTr="00C34A34">
        <w:tc>
          <w:tcPr>
            <w:tcW w:w="2321" w:type="dxa"/>
          </w:tcPr>
          <w:p w:rsidR="0045536B" w:rsidRPr="00A23104" w:rsidRDefault="0045536B" w:rsidP="00C34A34">
            <w:pPr>
              <w:rPr>
                <w:b/>
              </w:rPr>
            </w:pPr>
            <w:r w:rsidRPr="00A23104">
              <w:rPr>
                <w:b/>
              </w:rPr>
              <w:t>Einfache 1-Höhlen-Eingriffe,</w:t>
            </w:r>
          </w:p>
          <w:p w:rsidR="0045536B" w:rsidRPr="00A23104" w:rsidRDefault="0045536B" w:rsidP="00C34A34">
            <w:pPr>
              <w:rPr>
                <w:b/>
              </w:rPr>
            </w:pPr>
            <w:r w:rsidRPr="00A23104">
              <w:rPr>
                <w:b/>
              </w:rPr>
              <w:t>IUD-Einlage,</w:t>
            </w:r>
          </w:p>
          <w:p w:rsidR="0045536B" w:rsidRDefault="0045536B" w:rsidP="00C34A34">
            <w:r w:rsidRPr="00A23104">
              <w:rPr>
                <w:b/>
              </w:rPr>
              <w:t>Endometrium-Biopsie</w:t>
            </w:r>
          </w:p>
        </w:tc>
        <w:tc>
          <w:tcPr>
            <w:tcW w:w="2292" w:type="dxa"/>
          </w:tcPr>
          <w:p w:rsidR="0045536B" w:rsidRPr="00ED574F" w:rsidRDefault="0045536B" w:rsidP="00C34A34">
            <w:pPr>
              <w:rPr>
                <w:b/>
              </w:rPr>
            </w:pPr>
            <w:r>
              <w:rPr>
                <w:b/>
              </w:rPr>
              <w:t>Keine Prophylaxe</w:t>
            </w:r>
          </w:p>
        </w:tc>
        <w:tc>
          <w:tcPr>
            <w:tcW w:w="2784" w:type="dxa"/>
          </w:tcPr>
          <w:p w:rsidR="0045536B" w:rsidRPr="00ED574F" w:rsidRDefault="0045536B" w:rsidP="00C34A34">
            <w:pPr>
              <w:rPr>
                <w:b/>
              </w:rPr>
            </w:pPr>
          </w:p>
        </w:tc>
      </w:tr>
      <w:tr w:rsidR="0045536B" w:rsidTr="00C34A34">
        <w:tc>
          <w:tcPr>
            <w:tcW w:w="2321" w:type="dxa"/>
          </w:tcPr>
          <w:p w:rsidR="0045536B" w:rsidRPr="007A466D" w:rsidRDefault="0045536B" w:rsidP="00C34A34">
            <w:pPr>
              <w:rPr>
                <w:b/>
              </w:rPr>
            </w:pPr>
            <w:r w:rsidRPr="007A466D">
              <w:rPr>
                <w:b/>
              </w:rPr>
              <w:t>Sectio</w:t>
            </w:r>
          </w:p>
        </w:tc>
        <w:tc>
          <w:tcPr>
            <w:tcW w:w="2292" w:type="dxa"/>
          </w:tcPr>
          <w:p w:rsidR="0045536B" w:rsidRDefault="0045536B" w:rsidP="00C34A34">
            <w:r w:rsidRPr="00ED574F">
              <w:rPr>
                <w:b/>
              </w:rPr>
              <w:t>Cefazolin i.v</w:t>
            </w:r>
            <w:r>
              <w:t>.</w:t>
            </w:r>
          </w:p>
          <w:p w:rsidR="0045536B" w:rsidRDefault="0045536B" w:rsidP="00C34A34">
            <w:r>
              <w:t>&lt;120 kg: 2 g</w:t>
            </w:r>
          </w:p>
          <w:p w:rsidR="0045536B" w:rsidRDefault="0045536B" w:rsidP="00C34A34">
            <w:r>
              <w:t>&gt;120 kg: 3 g</w:t>
            </w:r>
          </w:p>
          <w:p w:rsidR="0045536B" w:rsidRDefault="0045536B" w:rsidP="00C34A34"/>
        </w:tc>
        <w:tc>
          <w:tcPr>
            <w:tcW w:w="2784" w:type="dxa"/>
          </w:tcPr>
          <w:p w:rsidR="0045536B" w:rsidRDefault="0045536B" w:rsidP="00C34A34">
            <w:pPr>
              <w:rPr>
                <w:b/>
              </w:rPr>
            </w:pPr>
            <w:r w:rsidRPr="00ED574F">
              <w:rPr>
                <w:b/>
              </w:rPr>
              <w:t xml:space="preserve">Vancomycin </w:t>
            </w:r>
          </w:p>
          <w:p w:rsidR="0045536B" w:rsidRDefault="0045536B" w:rsidP="00C34A34">
            <w:r w:rsidRPr="00B31CDD">
              <w:t xml:space="preserve">20 mg/kg KG </w:t>
            </w:r>
          </w:p>
          <w:p w:rsidR="0045536B" w:rsidRDefault="0045536B" w:rsidP="00C34A34">
            <w:r w:rsidRPr="00B31CDD">
              <w:t>(max. 3000 mg)</w:t>
            </w:r>
          </w:p>
          <w:p w:rsidR="0045536B" w:rsidRDefault="0045536B" w:rsidP="00C34A34"/>
          <w:p w:rsidR="0045536B" w:rsidRPr="00B31CDD" w:rsidRDefault="0045536B" w:rsidP="00C34A34">
            <w:r w:rsidRPr="00B31CDD">
              <w:t>Alternative</w:t>
            </w:r>
            <w:r>
              <w:t>:</w:t>
            </w:r>
          </w:p>
          <w:p w:rsidR="0045536B" w:rsidRPr="00B31CDD" w:rsidRDefault="0045536B" w:rsidP="00C34A34">
            <w:r w:rsidRPr="00ED574F">
              <w:rPr>
                <w:b/>
              </w:rPr>
              <w:t>Clindamycin i.v</w:t>
            </w:r>
            <w:r w:rsidRPr="00B31CDD">
              <w:t>.</w:t>
            </w:r>
          </w:p>
          <w:p w:rsidR="0045536B" w:rsidRPr="00B31CDD" w:rsidRDefault="0045536B" w:rsidP="00C34A34">
            <w:r w:rsidRPr="00B31CDD">
              <w:t>&lt;80 kg: 600 mg</w:t>
            </w:r>
          </w:p>
          <w:p w:rsidR="0045536B" w:rsidRDefault="0045536B" w:rsidP="00C34A34">
            <w:r w:rsidRPr="00B31CDD">
              <w:t>&gt;80 kg: 900 mg</w:t>
            </w:r>
          </w:p>
          <w:p w:rsidR="0045536B" w:rsidRDefault="0045536B" w:rsidP="00C34A34"/>
        </w:tc>
      </w:tr>
      <w:tr w:rsidR="0045536B" w:rsidTr="00C34A34">
        <w:tc>
          <w:tcPr>
            <w:tcW w:w="2321" w:type="dxa"/>
          </w:tcPr>
          <w:p w:rsidR="0045536B" w:rsidRDefault="0045536B" w:rsidP="00C34A34"/>
        </w:tc>
        <w:tc>
          <w:tcPr>
            <w:tcW w:w="2292" w:type="dxa"/>
          </w:tcPr>
          <w:p w:rsidR="0045536B" w:rsidRDefault="0045536B" w:rsidP="00C34A34"/>
        </w:tc>
        <w:tc>
          <w:tcPr>
            <w:tcW w:w="2784" w:type="dxa"/>
          </w:tcPr>
          <w:p w:rsidR="0045536B" w:rsidRDefault="0045536B" w:rsidP="00C34A34"/>
        </w:tc>
      </w:tr>
      <w:tr w:rsidR="0045536B" w:rsidTr="00C34A34">
        <w:tc>
          <w:tcPr>
            <w:tcW w:w="2321" w:type="dxa"/>
          </w:tcPr>
          <w:p w:rsidR="0045536B" w:rsidRDefault="0045536B" w:rsidP="00C34A34"/>
        </w:tc>
        <w:tc>
          <w:tcPr>
            <w:tcW w:w="2292" w:type="dxa"/>
          </w:tcPr>
          <w:p w:rsidR="0045536B" w:rsidRDefault="0045536B" w:rsidP="00C34A34"/>
        </w:tc>
        <w:tc>
          <w:tcPr>
            <w:tcW w:w="2784" w:type="dxa"/>
          </w:tcPr>
          <w:p w:rsidR="0045536B" w:rsidRDefault="0045536B" w:rsidP="00C34A34"/>
        </w:tc>
      </w:tr>
      <w:tr w:rsidR="0045536B" w:rsidTr="00C34A34">
        <w:tc>
          <w:tcPr>
            <w:tcW w:w="2321" w:type="dxa"/>
          </w:tcPr>
          <w:p w:rsidR="0045536B" w:rsidRDefault="0045536B" w:rsidP="00C34A34"/>
        </w:tc>
        <w:tc>
          <w:tcPr>
            <w:tcW w:w="2292" w:type="dxa"/>
          </w:tcPr>
          <w:p w:rsidR="0045536B" w:rsidRDefault="0045536B" w:rsidP="00C34A34"/>
        </w:tc>
        <w:tc>
          <w:tcPr>
            <w:tcW w:w="2784" w:type="dxa"/>
          </w:tcPr>
          <w:p w:rsidR="0045536B" w:rsidRDefault="0045536B" w:rsidP="00C34A34"/>
        </w:tc>
      </w:tr>
      <w:tr w:rsidR="0045536B" w:rsidTr="00C34A34">
        <w:tc>
          <w:tcPr>
            <w:tcW w:w="2321" w:type="dxa"/>
          </w:tcPr>
          <w:p w:rsidR="0045536B" w:rsidRDefault="0045536B" w:rsidP="00C34A34"/>
        </w:tc>
        <w:tc>
          <w:tcPr>
            <w:tcW w:w="2292" w:type="dxa"/>
          </w:tcPr>
          <w:p w:rsidR="0045536B" w:rsidRDefault="0045536B" w:rsidP="00C34A34"/>
        </w:tc>
        <w:tc>
          <w:tcPr>
            <w:tcW w:w="2784" w:type="dxa"/>
          </w:tcPr>
          <w:p w:rsidR="0045536B" w:rsidRDefault="0045536B" w:rsidP="00C34A34"/>
        </w:tc>
      </w:tr>
    </w:tbl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Default="0045536B" w:rsidP="0045536B"/>
    <w:p w:rsidR="0045536B" w:rsidRPr="00125169" w:rsidRDefault="0045536B" w:rsidP="0045536B">
      <w:pPr>
        <w:rPr>
          <w:sz w:val="20"/>
          <w:szCs w:val="20"/>
        </w:rPr>
      </w:pPr>
      <w:r w:rsidRPr="00125169">
        <w:rPr>
          <w:sz w:val="20"/>
          <w:szCs w:val="20"/>
        </w:rPr>
        <w:t>Literatur</w:t>
      </w:r>
    </w:p>
    <w:p w:rsidR="0045536B" w:rsidRPr="00125169" w:rsidRDefault="0045536B" w:rsidP="0045536B">
      <w:pPr>
        <w:rPr>
          <w:sz w:val="20"/>
          <w:szCs w:val="20"/>
        </w:rPr>
      </w:pPr>
    </w:p>
    <w:p w:rsidR="0045536B" w:rsidRPr="00125169" w:rsidRDefault="0045536B" w:rsidP="0045536B">
      <w:pPr>
        <w:rPr>
          <w:sz w:val="20"/>
          <w:szCs w:val="20"/>
        </w:rPr>
      </w:pPr>
      <w:r w:rsidRPr="00125169">
        <w:rPr>
          <w:sz w:val="20"/>
          <w:szCs w:val="20"/>
        </w:rPr>
        <w:t>Aktualisierte Empfehlungen zur perioperativen Antibiotkaprophylaxe in der Schweiz, 2015. Swissnoso-Bulletin 2015;20(1):1-8</w:t>
      </w:r>
    </w:p>
    <w:p w:rsidR="0045536B" w:rsidRPr="00125169" w:rsidRDefault="0045536B" w:rsidP="0045536B">
      <w:pPr>
        <w:rPr>
          <w:sz w:val="20"/>
          <w:szCs w:val="20"/>
        </w:rPr>
      </w:pPr>
    </w:p>
    <w:p w:rsidR="0045536B" w:rsidRPr="00125169" w:rsidRDefault="0045536B" w:rsidP="0045536B">
      <w:pPr>
        <w:rPr>
          <w:sz w:val="20"/>
          <w:szCs w:val="20"/>
        </w:rPr>
      </w:pPr>
      <w:r w:rsidRPr="00125169">
        <w:rPr>
          <w:sz w:val="20"/>
          <w:szCs w:val="20"/>
        </w:rPr>
        <w:t>Engesaeter L. et al.: Antibiotic Prophylaxis in total hip arthroplasty. Acta Orthop Scand 2003;74(6):664</w:t>
      </w:r>
    </w:p>
    <w:p w:rsidR="0045536B" w:rsidRDefault="0045536B" w:rsidP="0045536B"/>
    <w:p w:rsidR="0045536B" w:rsidRDefault="0045536B" w:rsidP="0045536B"/>
    <w:p w:rsidR="0045536B" w:rsidRDefault="0045536B" w:rsidP="0045536B"/>
    <w:p w:rsidR="0045536B" w:rsidRPr="005F6B8C" w:rsidRDefault="0045536B" w:rsidP="0045536B">
      <w:r>
        <w:t xml:space="preserve">Version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7166A8">
        <w:rPr>
          <w:noProof/>
        </w:rPr>
        <w:t>23.07.2019</w:t>
      </w:r>
      <w:r>
        <w:fldChar w:fldCharType="end"/>
      </w:r>
    </w:p>
    <w:p w:rsidR="0049606D" w:rsidRPr="003238B9" w:rsidRDefault="0049606D" w:rsidP="005F6B8C">
      <w:pPr>
        <w:rPr>
          <w:sz w:val="20"/>
          <w:szCs w:val="20"/>
        </w:rPr>
      </w:pPr>
    </w:p>
    <w:sectPr w:rsidR="0049606D" w:rsidRPr="003238B9" w:rsidSect="00AD1CF4">
      <w:headerReference w:type="default" r:id="rId12"/>
      <w:footerReference w:type="default" r:id="rId13"/>
      <w:pgSz w:w="11906" w:h="16838" w:code="9"/>
      <w:pgMar w:top="1130" w:right="1417" w:bottom="1134" w:left="1417" w:header="227" w:footer="34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9B" w:rsidRDefault="0095729B" w:rsidP="00631EA3">
      <w:r>
        <w:separator/>
      </w:r>
    </w:p>
  </w:endnote>
  <w:endnote w:type="continuationSeparator" w:id="0">
    <w:p w:rsidR="0095729B" w:rsidRDefault="0095729B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34" w:rsidRPr="00A84338" w:rsidRDefault="00C34A34">
    <w:pPr>
      <w:pStyle w:val="Fuzeile"/>
      <w:rPr>
        <w:color w:val="000000" w:themeColor="text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9E3C4" wp14:editId="7F139F08">
              <wp:simplePos x="0" y="0"/>
              <wp:positionH relativeFrom="margin">
                <wp:posOffset>4803775</wp:posOffset>
              </wp:positionH>
              <wp:positionV relativeFrom="bottomMargin">
                <wp:posOffset>214630</wp:posOffset>
              </wp:positionV>
              <wp:extent cx="1508760" cy="395605"/>
              <wp:effectExtent l="0" t="0" r="0" b="0"/>
              <wp:wrapNone/>
              <wp:docPr id="56" name="Textfeld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4A34" w:rsidRPr="00A84338" w:rsidRDefault="00C34A34">
                          <w:pPr>
                            <w:pStyle w:val="Fuzeil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84338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4338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84338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304D" w:rsidRPr="000B304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4</w:t>
                          </w:r>
                          <w:r w:rsidRPr="00A84338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8" type="#_x0000_t202" style="position:absolute;margin-left:378.25pt;margin-top:16.9pt;width:118.8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" filled="f" stroked="f" strokeweight=".5pt">
              <v:textbox style="mso-fit-shape-to-text:t">
                <w:txbxContent>
                  <w:p w:rsidR="00C34A34" w:rsidRPr="00A84338" w:rsidRDefault="00C34A34">
                    <w:pPr>
                      <w:pStyle w:val="Fuzeil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A84338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A84338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A84338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0B304D" w:rsidRPr="000B304D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  <w:lang w:val="de-DE"/>
                      </w:rPr>
                      <w:t>4</w:t>
                    </w:r>
                    <w:r w:rsidRPr="00A84338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color w:val="000000" w:themeColor="text1"/>
          <w:sz w:val="16"/>
          <w:szCs w:val="16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Pr="00A84338">
          <w:rPr>
            <w:color w:val="000000" w:themeColor="text1"/>
            <w:sz w:val="16"/>
            <w:szCs w:val="16"/>
          </w:rPr>
          <w:t>Dr. med. Marco Rossi</w:t>
        </w:r>
      </w:sdtContent>
    </w:sdt>
  </w:p>
  <w:p w:rsidR="00C34A34" w:rsidRDefault="00C34A34">
    <w:pPr>
      <w:pStyle w:val="Fuzeile"/>
    </w:pPr>
    <w:r>
      <w:rPr>
        <w:noProof/>
        <w:color w:val="2A71B8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2EC8E507" wp14:editId="6C06FF6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ec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KpYtcHkAQAAEgQAAA4AAAAAAAAAAAAAAAAALgIAAGRycy9lMm9Eb2MueG1sUEsBAi0AFAAG&#10;AAgAAAAhALu8VnPZAAAAAwEAAA8AAAAAAAAAAAAAAAAAPgQAAGRycy9kb3ducmV2LnhtbFBLBQYA&#10;AAAABAAEAPMAAABEBQAAAAA=&#10;" fillcolor="#2a71b8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9B" w:rsidRPr="00C5169A" w:rsidRDefault="0095729B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:rsidR="0095729B" w:rsidRDefault="0095729B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34" w:rsidRDefault="00C34A34" w:rsidP="004B2A93">
    <w:pPr>
      <w:pStyle w:val="Kopfzeile"/>
      <w:rPr>
        <w:sz w:val="18"/>
        <w:szCs w:val="18"/>
      </w:rPr>
    </w:pPr>
  </w:p>
  <w:p w:rsidR="00C34A34" w:rsidRDefault="00C34A34" w:rsidP="004B2A93">
    <w:pPr>
      <w:pStyle w:val="Kopfzeile"/>
      <w:rPr>
        <w:sz w:val="18"/>
        <w:szCs w:val="18"/>
      </w:rPr>
    </w:pPr>
    <w:r w:rsidRPr="00D27D5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A987883" wp14:editId="66540AA9">
          <wp:simplePos x="0" y="0"/>
          <wp:positionH relativeFrom="rightMargin">
            <wp:posOffset>-1320800</wp:posOffset>
          </wp:positionH>
          <wp:positionV relativeFrom="page">
            <wp:posOffset>311785</wp:posOffset>
          </wp:positionV>
          <wp:extent cx="1771015" cy="461645"/>
          <wp:effectExtent l="0" t="0" r="635" b="0"/>
          <wp:wrapTight wrapText="bothSides">
            <wp:wrapPolygon edited="0">
              <wp:start x="0" y="0"/>
              <wp:lineTo x="0" y="20501"/>
              <wp:lineTo x="21375" y="20501"/>
              <wp:lineTo x="21375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uks__Lu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4A34" w:rsidRDefault="00C34A34" w:rsidP="004B2A93">
    <w:pPr>
      <w:pStyle w:val="Kopfzeile"/>
      <w:rPr>
        <w:sz w:val="18"/>
        <w:szCs w:val="18"/>
      </w:rPr>
    </w:pPr>
  </w:p>
  <w:p w:rsidR="00C34A34" w:rsidRPr="00D27D55" w:rsidRDefault="00C34A34" w:rsidP="004B2A93">
    <w:pPr>
      <w:pStyle w:val="Kopfzeile"/>
      <w:rPr>
        <w:sz w:val="18"/>
        <w:szCs w:val="18"/>
      </w:rPr>
    </w:pPr>
    <w:r w:rsidRPr="00D27D55">
      <w:rPr>
        <w:sz w:val="18"/>
        <w:szCs w:val="18"/>
      </w:rPr>
      <w:t>Perioperative Antibiotikaphrophylaxe am LUKS</w:t>
    </w:r>
  </w:p>
  <w:p w:rsidR="00C34A34" w:rsidRDefault="00C34A34" w:rsidP="006555EA">
    <w:pPr>
      <w:pStyle w:val="Kopfzeile"/>
      <w:tabs>
        <w:tab w:val="clear" w:pos="4820"/>
        <w:tab w:val="clear" w:pos="9639"/>
        <w:tab w:val="left" w:pos="6240"/>
      </w:tabs>
    </w:pPr>
    <w:r>
      <w:tab/>
    </w:r>
  </w:p>
  <w:p w:rsidR="00C34A34" w:rsidRDefault="00C34A34" w:rsidP="004B2A93">
    <w:pPr>
      <w:pStyle w:val="Kopfzeile"/>
    </w:pPr>
  </w:p>
  <w:p w:rsidR="00C34A34" w:rsidRDefault="00C34A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8_"/>
      </v:shape>
    </w:pict>
  </w:numPicBullet>
  <w:abstractNum w:abstractNumId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501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221" w:hanging="360"/>
      </w:pPr>
    </w:lvl>
    <w:lvl w:ilvl="2" w:tplc="0807001B" w:tentative="1">
      <w:start w:val="1"/>
      <w:numFmt w:val="lowerRoman"/>
      <w:lvlText w:val="%3."/>
      <w:lvlJc w:val="right"/>
      <w:pPr>
        <w:ind w:left="1941" w:hanging="180"/>
      </w:pPr>
    </w:lvl>
    <w:lvl w:ilvl="3" w:tplc="0807000F" w:tentative="1">
      <w:start w:val="1"/>
      <w:numFmt w:val="decimal"/>
      <w:lvlText w:val="%4."/>
      <w:lvlJc w:val="left"/>
      <w:pPr>
        <w:ind w:left="2661" w:hanging="360"/>
      </w:pPr>
    </w:lvl>
    <w:lvl w:ilvl="4" w:tplc="08070019" w:tentative="1">
      <w:start w:val="1"/>
      <w:numFmt w:val="lowerLetter"/>
      <w:lvlText w:val="%5."/>
      <w:lvlJc w:val="left"/>
      <w:pPr>
        <w:ind w:left="3381" w:hanging="360"/>
      </w:pPr>
    </w:lvl>
    <w:lvl w:ilvl="5" w:tplc="0807001B" w:tentative="1">
      <w:start w:val="1"/>
      <w:numFmt w:val="lowerRoman"/>
      <w:lvlText w:val="%6."/>
      <w:lvlJc w:val="right"/>
      <w:pPr>
        <w:ind w:left="4101" w:hanging="180"/>
      </w:pPr>
    </w:lvl>
    <w:lvl w:ilvl="6" w:tplc="0807000F" w:tentative="1">
      <w:start w:val="1"/>
      <w:numFmt w:val="decimal"/>
      <w:lvlText w:val="%7."/>
      <w:lvlJc w:val="left"/>
      <w:pPr>
        <w:ind w:left="4821" w:hanging="360"/>
      </w:pPr>
    </w:lvl>
    <w:lvl w:ilvl="7" w:tplc="08070019" w:tentative="1">
      <w:start w:val="1"/>
      <w:numFmt w:val="lowerLetter"/>
      <w:lvlText w:val="%8."/>
      <w:lvlJc w:val="left"/>
      <w:pPr>
        <w:ind w:left="5541" w:hanging="360"/>
      </w:pPr>
    </w:lvl>
    <w:lvl w:ilvl="8" w:tplc="08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BA14600"/>
    <w:multiLevelType w:val="hybridMultilevel"/>
    <w:tmpl w:val="97B45600"/>
    <w:lvl w:ilvl="0" w:tplc="25209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5117C"/>
    <w:multiLevelType w:val="hybridMultilevel"/>
    <w:tmpl w:val="CB2AB3FA"/>
    <w:lvl w:ilvl="0" w:tplc="E368BB7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2451EEC"/>
    <w:multiLevelType w:val="hybridMultilevel"/>
    <w:tmpl w:val="F02086AC"/>
    <w:lvl w:ilvl="0" w:tplc="E368BB74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>
    <w:nsid w:val="165F7271"/>
    <w:multiLevelType w:val="hybridMultilevel"/>
    <w:tmpl w:val="35C64022"/>
    <w:lvl w:ilvl="0" w:tplc="E368BB7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8">
    <w:nsid w:val="19FC1811"/>
    <w:multiLevelType w:val="multilevel"/>
    <w:tmpl w:val="82C07F4A"/>
    <w:numStyleLink w:val="Aufzhlung"/>
  </w:abstractNum>
  <w:abstractNum w:abstractNumId="9">
    <w:nsid w:val="1C02318B"/>
    <w:multiLevelType w:val="hybridMultilevel"/>
    <w:tmpl w:val="A906ECB0"/>
    <w:lvl w:ilvl="0" w:tplc="E368BB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E368BB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E8A490B"/>
    <w:multiLevelType w:val="multilevel"/>
    <w:tmpl w:val="0807001D"/>
    <w:numStyleLink w:val="LUKSAufzhlung0"/>
  </w:abstractNum>
  <w:abstractNum w:abstractNumId="11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2">
    <w:nsid w:val="245D37BF"/>
    <w:multiLevelType w:val="hybridMultilevel"/>
    <w:tmpl w:val="C4D6C230"/>
    <w:lvl w:ilvl="0" w:tplc="E368B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F4C0B"/>
    <w:multiLevelType w:val="multilevel"/>
    <w:tmpl w:val="82C07F4A"/>
    <w:numStyleLink w:val="Aufzhlung"/>
  </w:abstractNum>
  <w:abstractNum w:abstractNumId="14">
    <w:nsid w:val="292F18CC"/>
    <w:multiLevelType w:val="hybridMultilevel"/>
    <w:tmpl w:val="454CC3D4"/>
    <w:lvl w:ilvl="0" w:tplc="E368BB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6">
    <w:nsid w:val="38142722"/>
    <w:multiLevelType w:val="hybridMultilevel"/>
    <w:tmpl w:val="17603876"/>
    <w:lvl w:ilvl="0" w:tplc="E368BB7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395E0FC2"/>
    <w:multiLevelType w:val="hybridMultilevel"/>
    <w:tmpl w:val="839A1AB6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6D327E"/>
    <w:multiLevelType w:val="hybridMultilevel"/>
    <w:tmpl w:val="793ECD30"/>
    <w:lvl w:ilvl="0" w:tplc="E368BB7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48143D"/>
    <w:multiLevelType w:val="hybridMultilevel"/>
    <w:tmpl w:val="A050B3EE"/>
    <w:lvl w:ilvl="0" w:tplc="1FB2562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A00D6"/>
    <w:multiLevelType w:val="hybridMultilevel"/>
    <w:tmpl w:val="6518B528"/>
    <w:lvl w:ilvl="0" w:tplc="E368BB74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1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22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C6104"/>
    <w:multiLevelType w:val="hybridMultilevel"/>
    <w:tmpl w:val="44284266"/>
    <w:lvl w:ilvl="0" w:tplc="E368BB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CF42634"/>
    <w:multiLevelType w:val="multilevel"/>
    <w:tmpl w:val="0807001D"/>
    <w:numStyleLink w:val="LuksAufzhlung"/>
  </w:abstractNum>
  <w:abstractNum w:abstractNumId="26">
    <w:nsid w:val="6F1305F6"/>
    <w:multiLevelType w:val="multilevel"/>
    <w:tmpl w:val="0807001D"/>
    <w:numStyleLink w:val="LuksAufzhlung"/>
  </w:abstractNum>
  <w:abstractNum w:abstractNumId="27">
    <w:nsid w:val="6F695A0C"/>
    <w:multiLevelType w:val="hybridMultilevel"/>
    <w:tmpl w:val="B28E8B30"/>
    <w:lvl w:ilvl="0" w:tplc="E368B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8210A"/>
    <w:multiLevelType w:val="singleLevel"/>
    <w:tmpl w:val="08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741C15D8"/>
    <w:multiLevelType w:val="hybridMultilevel"/>
    <w:tmpl w:val="E75EA29E"/>
    <w:lvl w:ilvl="0" w:tplc="E368BB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90C1EF5"/>
    <w:multiLevelType w:val="multilevel"/>
    <w:tmpl w:val="EE56F612"/>
    <w:numStyleLink w:val="Aufzhlungsliste"/>
  </w:abstractNum>
  <w:abstractNum w:abstractNumId="31">
    <w:nsid w:val="7A205DC0"/>
    <w:multiLevelType w:val="hybridMultilevel"/>
    <w:tmpl w:val="AD1468CA"/>
    <w:lvl w:ilvl="0" w:tplc="E368BB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BB771D8"/>
    <w:multiLevelType w:val="hybridMultilevel"/>
    <w:tmpl w:val="73B44FE6"/>
    <w:lvl w:ilvl="0" w:tplc="E368BB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C1C0B28"/>
    <w:multiLevelType w:val="multilevel"/>
    <w:tmpl w:val="82C07F4A"/>
    <w:numStyleLink w:val="Aufzhlung"/>
  </w:abstractNum>
  <w:num w:numId="1">
    <w:abstractNumId w:val="21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7"/>
  </w:num>
  <w:num w:numId="7">
    <w:abstractNumId w:val="24"/>
  </w:num>
  <w:num w:numId="8">
    <w:abstractNumId w:val="1"/>
  </w:num>
  <w:num w:numId="9">
    <w:abstractNumId w:val="26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</w:num>
  <w:num w:numId="15">
    <w:abstractNumId w:val="10"/>
  </w:num>
  <w:num w:numId="16">
    <w:abstractNumId w:val="33"/>
  </w:num>
  <w:num w:numId="17">
    <w:abstractNumId w:val="25"/>
  </w:num>
  <w:num w:numId="18">
    <w:abstractNumId w:val="18"/>
  </w:num>
  <w:num w:numId="19">
    <w:abstractNumId w:val="29"/>
  </w:num>
  <w:num w:numId="20">
    <w:abstractNumId w:val="20"/>
  </w:num>
  <w:num w:numId="21">
    <w:abstractNumId w:val="5"/>
  </w:num>
  <w:num w:numId="22">
    <w:abstractNumId w:val="16"/>
  </w:num>
  <w:num w:numId="23">
    <w:abstractNumId w:val="6"/>
  </w:num>
  <w:num w:numId="24">
    <w:abstractNumId w:val="27"/>
  </w:num>
  <w:num w:numId="25">
    <w:abstractNumId w:val="4"/>
  </w:num>
  <w:num w:numId="26">
    <w:abstractNumId w:val="32"/>
  </w:num>
  <w:num w:numId="27">
    <w:abstractNumId w:val="12"/>
  </w:num>
  <w:num w:numId="28">
    <w:abstractNumId w:val="14"/>
  </w:num>
  <w:num w:numId="29">
    <w:abstractNumId w:val="9"/>
  </w:num>
  <w:num w:numId="30">
    <w:abstractNumId w:val="23"/>
  </w:num>
  <w:num w:numId="31">
    <w:abstractNumId w:val="17"/>
  </w:num>
  <w:num w:numId="32">
    <w:abstractNumId w:val="31"/>
  </w:num>
  <w:num w:numId="33">
    <w:abstractNumId w:val="3"/>
  </w:num>
  <w:num w:numId="34">
    <w:abstractNumId w:val="28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ECC3A94-652D-4DA1-8DD9-BBFFC6B05663}"/>
    <w:docVar w:name="dgnword-eventsink" w:val="405683544"/>
  </w:docVars>
  <w:rsids>
    <w:rsidRoot w:val="00E82B71"/>
    <w:rsid w:val="00005EDE"/>
    <w:rsid w:val="0001787B"/>
    <w:rsid w:val="000270A4"/>
    <w:rsid w:val="00032CDB"/>
    <w:rsid w:val="00041CAB"/>
    <w:rsid w:val="00043601"/>
    <w:rsid w:val="000448AB"/>
    <w:rsid w:val="00046BA4"/>
    <w:rsid w:val="000532F0"/>
    <w:rsid w:val="00053A71"/>
    <w:rsid w:val="00054FAB"/>
    <w:rsid w:val="00056D50"/>
    <w:rsid w:val="00061D29"/>
    <w:rsid w:val="00084593"/>
    <w:rsid w:val="00096013"/>
    <w:rsid w:val="00097B21"/>
    <w:rsid w:val="000B304D"/>
    <w:rsid w:val="000B46A9"/>
    <w:rsid w:val="000D52A6"/>
    <w:rsid w:val="000E74B7"/>
    <w:rsid w:val="000F184E"/>
    <w:rsid w:val="000F6273"/>
    <w:rsid w:val="00100140"/>
    <w:rsid w:val="00111D16"/>
    <w:rsid w:val="00122C6E"/>
    <w:rsid w:val="001233D2"/>
    <w:rsid w:val="00125169"/>
    <w:rsid w:val="00130682"/>
    <w:rsid w:val="001350FE"/>
    <w:rsid w:val="001410A2"/>
    <w:rsid w:val="00164A18"/>
    <w:rsid w:val="00164E49"/>
    <w:rsid w:val="00166E0B"/>
    <w:rsid w:val="00167FEC"/>
    <w:rsid w:val="0017351B"/>
    <w:rsid w:val="00173CDB"/>
    <w:rsid w:val="00177AF8"/>
    <w:rsid w:val="00177D42"/>
    <w:rsid w:val="001927C5"/>
    <w:rsid w:val="001A37EB"/>
    <w:rsid w:val="001B508E"/>
    <w:rsid w:val="001B7963"/>
    <w:rsid w:val="001C2CBA"/>
    <w:rsid w:val="001D405A"/>
    <w:rsid w:val="001D4258"/>
    <w:rsid w:val="001F32FE"/>
    <w:rsid w:val="001F4021"/>
    <w:rsid w:val="001F617E"/>
    <w:rsid w:val="002047E2"/>
    <w:rsid w:val="00212161"/>
    <w:rsid w:val="00220104"/>
    <w:rsid w:val="002254AB"/>
    <w:rsid w:val="0023053B"/>
    <w:rsid w:val="002314FC"/>
    <w:rsid w:val="002406B4"/>
    <w:rsid w:val="00252DD0"/>
    <w:rsid w:val="00256CF9"/>
    <w:rsid w:val="00257167"/>
    <w:rsid w:val="00257C2A"/>
    <w:rsid w:val="0026051B"/>
    <w:rsid w:val="00261874"/>
    <w:rsid w:val="00267D60"/>
    <w:rsid w:val="0028744C"/>
    <w:rsid w:val="002B4CBC"/>
    <w:rsid w:val="002C39BF"/>
    <w:rsid w:val="002C4C27"/>
    <w:rsid w:val="002D27B7"/>
    <w:rsid w:val="002D35D1"/>
    <w:rsid w:val="00305F05"/>
    <w:rsid w:val="003238B9"/>
    <w:rsid w:val="003271D7"/>
    <w:rsid w:val="00353699"/>
    <w:rsid w:val="0036214F"/>
    <w:rsid w:val="0036486D"/>
    <w:rsid w:val="0036729F"/>
    <w:rsid w:val="0037263F"/>
    <w:rsid w:val="00394B71"/>
    <w:rsid w:val="003959E9"/>
    <w:rsid w:val="00397C40"/>
    <w:rsid w:val="003A0BBA"/>
    <w:rsid w:val="003A2755"/>
    <w:rsid w:val="003A64CB"/>
    <w:rsid w:val="003A7127"/>
    <w:rsid w:val="003B39BC"/>
    <w:rsid w:val="003B765D"/>
    <w:rsid w:val="003C5C56"/>
    <w:rsid w:val="003E51A3"/>
    <w:rsid w:val="003E5F26"/>
    <w:rsid w:val="00400723"/>
    <w:rsid w:val="00402E2F"/>
    <w:rsid w:val="00412C4A"/>
    <w:rsid w:val="00426A0B"/>
    <w:rsid w:val="004271D8"/>
    <w:rsid w:val="00432256"/>
    <w:rsid w:val="00434523"/>
    <w:rsid w:val="00434781"/>
    <w:rsid w:val="00444EAE"/>
    <w:rsid w:val="00454CFA"/>
    <w:rsid w:val="0045536B"/>
    <w:rsid w:val="00464FAC"/>
    <w:rsid w:val="00465EF9"/>
    <w:rsid w:val="0047759C"/>
    <w:rsid w:val="004809D6"/>
    <w:rsid w:val="00485839"/>
    <w:rsid w:val="0048721A"/>
    <w:rsid w:val="004901EE"/>
    <w:rsid w:val="004917EC"/>
    <w:rsid w:val="00491EE2"/>
    <w:rsid w:val="0049361D"/>
    <w:rsid w:val="0049606D"/>
    <w:rsid w:val="00497BCD"/>
    <w:rsid w:val="004B2A93"/>
    <w:rsid w:val="004B41CB"/>
    <w:rsid w:val="004B44B2"/>
    <w:rsid w:val="004C1BDB"/>
    <w:rsid w:val="004D34FC"/>
    <w:rsid w:val="004D4BEA"/>
    <w:rsid w:val="004E663B"/>
    <w:rsid w:val="004E6B0F"/>
    <w:rsid w:val="004F134A"/>
    <w:rsid w:val="004F2B56"/>
    <w:rsid w:val="004F3C21"/>
    <w:rsid w:val="005018DA"/>
    <w:rsid w:val="00501C9A"/>
    <w:rsid w:val="00503BD3"/>
    <w:rsid w:val="00521267"/>
    <w:rsid w:val="00521671"/>
    <w:rsid w:val="0052638F"/>
    <w:rsid w:val="00526CDC"/>
    <w:rsid w:val="00533BBC"/>
    <w:rsid w:val="00563CB5"/>
    <w:rsid w:val="005679BA"/>
    <w:rsid w:val="00587179"/>
    <w:rsid w:val="0059057D"/>
    <w:rsid w:val="00590B35"/>
    <w:rsid w:val="00593CA5"/>
    <w:rsid w:val="00596644"/>
    <w:rsid w:val="005A1C33"/>
    <w:rsid w:val="005A3851"/>
    <w:rsid w:val="005C70DA"/>
    <w:rsid w:val="005D07FD"/>
    <w:rsid w:val="005D5D3E"/>
    <w:rsid w:val="005D68EB"/>
    <w:rsid w:val="005E5577"/>
    <w:rsid w:val="005E73EA"/>
    <w:rsid w:val="005F6B8C"/>
    <w:rsid w:val="006072EE"/>
    <w:rsid w:val="006158F1"/>
    <w:rsid w:val="00617B3D"/>
    <w:rsid w:val="0062132A"/>
    <w:rsid w:val="00623C3B"/>
    <w:rsid w:val="00625AD0"/>
    <w:rsid w:val="00631EA3"/>
    <w:rsid w:val="0063272C"/>
    <w:rsid w:val="006356F9"/>
    <w:rsid w:val="006374EA"/>
    <w:rsid w:val="006555EA"/>
    <w:rsid w:val="00656473"/>
    <w:rsid w:val="00661BBE"/>
    <w:rsid w:val="006855DB"/>
    <w:rsid w:val="006940C2"/>
    <w:rsid w:val="006A1B91"/>
    <w:rsid w:val="006A7066"/>
    <w:rsid w:val="006B1488"/>
    <w:rsid w:val="006B7CD4"/>
    <w:rsid w:val="006C604C"/>
    <w:rsid w:val="006D31F6"/>
    <w:rsid w:val="006F2593"/>
    <w:rsid w:val="006F3E8D"/>
    <w:rsid w:val="006F5262"/>
    <w:rsid w:val="006F5EBC"/>
    <w:rsid w:val="006F69E1"/>
    <w:rsid w:val="006F77A3"/>
    <w:rsid w:val="00704142"/>
    <w:rsid w:val="00705DF6"/>
    <w:rsid w:val="00710573"/>
    <w:rsid w:val="00712223"/>
    <w:rsid w:val="00714961"/>
    <w:rsid w:val="00715AC8"/>
    <w:rsid w:val="007162BA"/>
    <w:rsid w:val="007166A8"/>
    <w:rsid w:val="00717287"/>
    <w:rsid w:val="0073202D"/>
    <w:rsid w:val="00733BB7"/>
    <w:rsid w:val="00733E80"/>
    <w:rsid w:val="00740F0E"/>
    <w:rsid w:val="00741025"/>
    <w:rsid w:val="00747522"/>
    <w:rsid w:val="00754503"/>
    <w:rsid w:val="007638F5"/>
    <w:rsid w:val="0076708F"/>
    <w:rsid w:val="0077065D"/>
    <w:rsid w:val="00775464"/>
    <w:rsid w:val="007862C4"/>
    <w:rsid w:val="00791730"/>
    <w:rsid w:val="007A3B03"/>
    <w:rsid w:val="007A66B8"/>
    <w:rsid w:val="007B3754"/>
    <w:rsid w:val="007B3CE6"/>
    <w:rsid w:val="007B7FA6"/>
    <w:rsid w:val="007D3D51"/>
    <w:rsid w:val="007F1A0C"/>
    <w:rsid w:val="008024A6"/>
    <w:rsid w:val="0081054E"/>
    <w:rsid w:val="008131C0"/>
    <w:rsid w:val="00814303"/>
    <w:rsid w:val="00827C56"/>
    <w:rsid w:val="008310B8"/>
    <w:rsid w:val="008445AF"/>
    <w:rsid w:val="00844671"/>
    <w:rsid w:val="00845B70"/>
    <w:rsid w:val="00850DEF"/>
    <w:rsid w:val="00851974"/>
    <w:rsid w:val="00864661"/>
    <w:rsid w:val="00870DD6"/>
    <w:rsid w:val="00876073"/>
    <w:rsid w:val="008806FF"/>
    <w:rsid w:val="00896B49"/>
    <w:rsid w:val="008B2769"/>
    <w:rsid w:val="008C7476"/>
    <w:rsid w:val="008D0D2E"/>
    <w:rsid w:val="008D12CB"/>
    <w:rsid w:val="008D5F65"/>
    <w:rsid w:val="008F2868"/>
    <w:rsid w:val="008F549B"/>
    <w:rsid w:val="008F5BBC"/>
    <w:rsid w:val="009037BB"/>
    <w:rsid w:val="00906BFD"/>
    <w:rsid w:val="009073A8"/>
    <w:rsid w:val="00910F01"/>
    <w:rsid w:val="00924013"/>
    <w:rsid w:val="00930852"/>
    <w:rsid w:val="00934F47"/>
    <w:rsid w:val="00943EE4"/>
    <w:rsid w:val="00947B6F"/>
    <w:rsid w:val="0095057C"/>
    <w:rsid w:val="009558F7"/>
    <w:rsid w:val="0095729B"/>
    <w:rsid w:val="009667DA"/>
    <w:rsid w:val="00972482"/>
    <w:rsid w:val="009742A7"/>
    <w:rsid w:val="009826F4"/>
    <w:rsid w:val="009833BA"/>
    <w:rsid w:val="009864A9"/>
    <w:rsid w:val="009912EB"/>
    <w:rsid w:val="009A46C8"/>
    <w:rsid w:val="009A7B15"/>
    <w:rsid w:val="009C164E"/>
    <w:rsid w:val="009C43C4"/>
    <w:rsid w:val="009C5807"/>
    <w:rsid w:val="009D5894"/>
    <w:rsid w:val="009F052B"/>
    <w:rsid w:val="00A022CC"/>
    <w:rsid w:val="00A10DB4"/>
    <w:rsid w:val="00A14A25"/>
    <w:rsid w:val="00A2060D"/>
    <w:rsid w:val="00A241BD"/>
    <w:rsid w:val="00A30FA3"/>
    <w:rsid w:val="00A369BA"/>
    <w:rsid w:val="00A41BFA"/>
    <w:rsid w:val="00A46D16"/>
    <w:rsid w:val="00A4718A"/>
    <w:rsid w:val="00A5138D"/>
    <w:rsid w:val="00A528EC"/>
    <w:rsid w:val="00A56B72"/>
    <w:rsid w:val="00A6062D"/>
    <w:rsid w:val="00A66E0D"/>
    <w:rsid w:val="00A82362"/>
    <w:rsid w:val="00A84338"/>
    <w:rsid w:val="00A92BA1"/>
    <w:rsid w:val="00AA03FE"/>
    <w:rsid w:val="00AA0758"/>
    <w:rsid w:val="00AA30E5"/>
    <w:rsid w:val="00AA6538"/>
    <w:rsid w:val="00AB0C12"/>
    <w:rsid w:val="00AB1079"/>
    <w:rsid w:val="00AC16C5"/>
    <w:rsid w:val="00AC27CA"/>
    <w:rsid w:val="00AD042C"/>
    <w:rsid w:val="00AD1CF4"/>
    <w:rsid w:val="00AD54E2"/>
    <w:rsid w:val="00AD6D18"/>
    <w:rsid w:val="00AD7EC6"/>
    <w:rsid w:val="00AE5042"/>
    <w:rsid w:val="00AF1D29"/>
    <w:rsid w:val="00AF71F9"/>
    <w:rsid w:val="00B06B7C"/>
    <w:rsid w:val="00B07273"/>
    <w:rsid w:val="00B07AA2"/>
    <w:rsid w:val="00B1592C"/>
    <w:rsid w:val="00B35CFA"/>
    <w:rsid w:val="00B42419"/>
    <w:rsid w:val="00B50AC6"/>
    <w:rsid w:val="00B5451C"/>
    <w:rsid w:val="00B5533B"/>
    <w:rsid w:val="00B65A6B"/>
    <w:rsid w:val="00B9093A"/>
    <w:rsid w:val="00B93094"/>
    <w:rsid w:val="00B962B6"/>
    <w:rsid w:val="00BA1384"/>
    <w:rsid w:val="00BD2B21"/>
    <w:rsid w:val="00BD378B"/>
    <w:rsid w:val="00BD463A"/>
    <w:rsid w:val="00BD53E9"/>
    <w:rsid w:val="00BD62CB"/>
    <w:rsid w:val="00C13DDA"/>
    <w:rsid w:val="00C1479B"/>
    <w:rsid w:val="00C22ED3"/>
    <w:rsid w:val="00C31ECF"/>
    <w:rsid w:val="00C34A34"/>
    <w:rsid w:val="00C35F36"/>
    <w:rsid w:val="00C42958"/>
    <w:rsid w:val="00C4685C"/>
    <w:rsid w:val="00C51310"/>
    <w:rsid w:val="00C5169A"/>
    <w:rsid w:val="00C536EB"/>
    <w:rsid w:val="00C66170"/>
    <w:rsid w:val="00C803E2"/>
    <w:rsid w:val="00C837DB"/>
    <w:rsid w:val="00C91C12"/>
    <w:rsid w:val="00CA6777"/>
    <w:rsid w:val="00CB3F75"/>
    <w:rsid w:val="00CC0C57"/>
    <w:rsid w:val="00CC31DA"/>
    <w:rsid w:val="00CC43AB"/>
    <w:rsid w:val="00CD151F"/>
    <w:rsid w:val="00CD46F1"/>
    <w:rsid w:val="00CF46EC"/>
    <w:rsid w:val="00CF575E"/>
    <w:rsid w:val="00CF5F1B"/>
    <w:rsid w:val="00CF65DA"/>
    <w:rsid w:val="00D12E33"/>
    <w:rsid w:val="00D1585B"/>
    <w:rsid w:val="00D22453"/>
    <w:rsid w:val="00D23164"/>
    <w:rsid w:val="00D27D55"/>
    <w:rsid w:val="00D34DD0"/>
    <w:rsid w:val="00D36E64"/>
    <w:rsid w:val="00D375AA"/>
    <w:rsid w:val="00D614CF"/>
    <w:rsid w:val="00D6194F"/>
    <w:rsid w:val="00D61AA4"/>
    <w:rsid w:val="00D75855"/>
    <w:rsid w:val="00D8143B"/>
    <w:rsid w:val="00D83CC0"/>
    <w:rsid w:val="00D9718D"/>
    <w:rsid w:val="00D971AA"/>
    <w:rsid w:val="00DA1685"/>
    <w:rsid w:val="00DB075A"/>
    <w:rsid w:val="00DB60BF"/>
    <w:rsid w:val="00DC3C2E"/>
    <w:rsid w:val="00DD219D"/>
    <w:rsid w:val="00DE395C"/>
    <w:rsid w:val="00DE7790"/>
    <w:rsid w:val="00E07AFC"/>
    <w:rsid w:val="00E16181"/>
    <w:rsid w:val="00E24586"/>
    <w:rsid w:val="00E275C5"/>
    <w:rsid w:val="00E5421D"/>
    <w:rsid w:val="00E56E19"/>
    <w:rsid w:val="00E57628"/>
    <w:rsid w:val="00E617EB"/>
    <w:rsid w:val="00E62C69"/>
    <w:rsid w:val="00E7243B"/>
    <w:rsid w:val="00E82B71"/>
    <w:rsid w:val="00E9200F"/>
    <w:rsid w:val="00E93A69"/>
    <w:rsid w:val="00EA3649"/>
    <w:rsid w:val="00EB00A5"/>
    <w:rsid w:val="00EB0B4B"/>
    <w:rsid w:val="00EB0B65"/>
    <w:rsid w:val="00EB11A7"/>
    <w:rsid w:val="00EB2AE6"/>
    <w:rsid w:val="00EB2F60"/>
    <w:rsid w:val="00EB6534"/>
    <w:rsid w:val="00EC6396"/>
    <w:rsid w:val="00ED5545"/>
    <w:rsid w:val="00ED574F"/>
    <w:rsid w:val="00EE2AB8"/>
    <w:rsid w:val="00EF3439"/>
    <w:rsid w:val="00EF3A29"/>
    <w:rsid w:val="00F12BA5"/>
    <w:rsid w:val="00F15451"/>
    <w:rsid w:val="00F255EA"/>
    <w:rsid w:val="00F30F8D"/>
    <w:rsid w:val="00F322DC"/>
    <w:rsid w:val="00F35AA4"/>
    <w:rsid w:val="00F44A87"/>
    <w:rsid w:val="00F46839"/>
    <w:rsid w:val="00F73463"/>
    <w:rsid w:val="00F74F23"/>
    <w:rsid w:val="00F81DFB"/>
    <w:rsid w:val="00F95EBB"/>
    <w:rsid w:val="00FB0AFC"/>
    <w:rsid w:val="00FB1AA2"/>
    <w:rsid w:val="00FB322D"/>
    <w:rsid w:val="00FB32BD"/>
    <w:rsid w:val="00FC2E42"/>
    <w:rsid w:val="00FC57EA"/>
    <w:rsid w:val="00FD0A5F"/>
    <w:rsid w:val="00FD6F7B"/>
    <w:rsid w:val="00FD7168"/>
    <w:rsid w:val="00FE33EB"/>
    <w:rsid w:val="00FE404B"/>
    <w:rsid w:val="00FE50D6"/>
    <w:rsid w:val="00FE54F9"/>
    <w:rsid w:val="00FE6A6D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2C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99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qFormat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CA6777"/>
    <w:rPr>
      <w:sz w:val="14"/>
    </w:rPr>
  </w:style>
  <w:style w:type="character" w:styleId="Seitenzahl">
    <w:name w:val="page number"/>
    <w:basedOn w:val="Absatz-Standardschriftart"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D27D55"/>
  </w:style>
  <w:style w:type="paragraph" w:customStyle="1" w:styleId="DE7B8801F2B1483F98D539CC92927118">
    <w:name w:val="DE7B8801F2B1483F98D539CC92927118"/>
    <w:rsid w:val="00A84338"/>
    <w:pPr>
      <w:spacing w:after="200" w:line="276" w:lineRule="auto"/>
    </w:pPr>
    <w:rPr>
      <w:rFonts w:eastAsiaTheme="minorEastAsia" w:cstheme="minorBidi"/>
    </w:rPr>
  </w:style>
  <w:style w:type="table" w:customStyle="1" w:styleId="TabellenrasterLUKS1">
    <w:name w:val="Tabellenraster LUKS1"/>
    <w:basedOn w:val="NormaleTabelle"/>
    <w:next w:val="Tabellenraster"/>
    <w:uiPriority w:val="59"/>
    <w:rsid w:val="00AD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99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qFormat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CA6777"/>
    <w:rPr>
      <w:sz w:val="14"/>
    </w:rPr>
  </w:style>
  <w:style w:type="character" w:styleId="Seitenzahl">
    <w:name w:val="page number"/>
    <w:basedOn w:val="Absatz-Standardschriftart"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D27D55"/>
  </w:style>
  <w:style w:type="paragraph" w:customStyle="1" w:styleId="DE7B8801F2B1483F98D539CC92927118">
    <w:name w:val="DE7B8801F2B1483F98D539CC92927118"/>
    <w:rsid w:val="00A84338"/>
    <w:pPr>
      <w:spacing w:after="200" w:line="276" w:lineRule="auto"/>
    </w:pPr>
    <w:rPr>
      <w:rFonts w:eastAsiaTheme="minorEastAsia" w:cstheme="minorBidi"/>
    </w:rPr>
  </w:style>
  <w:style w:type="table" w:customStyle="1" w:styleId="TabellenrasterLUKS1">
    <w:name w:val="Tabellenraster LUKS1"/>
    <w:basedOn w:val="NormaleTabelle"/>
    <w:next w:val="Tabellenraster"/>
    <w:uiPriority w:val="59"/>
    <w:rsid w:val="00AD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2019-05-03T00:00:00</PublishDate>
  <Abstract/>
  <CompanyAddress>Infektiologie und Spitalhygiene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1A160-1ACB-4905-B544-0F7C79FE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2ECE69FA.dotm</Template>
  <TotalTime>0</TotalTime>
  <Pages>1</Pages>
  <Words>2635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med. Marco Rossi</dc:creator>
  <cp:lastModifiedBy>rossima</cp:lastModifiedBy>
  <cp:revision>2</cp:revision>
  <cp:lastPrinted>2019-01-17T06:15:00Z</cp:lastPrinted>
  <dcterms:created xsi:type="dcterms:W3CDTF">2019-05-03T14:12:00Z</dcterms:created>
  <dcterms:modified xsi:type="dcterms:W3CDTF">2019-05-03T14:12:00Z</dcterms:modified>
</cp:coreProperties>
</file>